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2BAA" w14:textId="77777777" w:rsidR="00153D22" w:rsidRDefault="00153D22">
      <w:pPr>
        <w:widowControl w:val="0"/>
        <w:pBdr>
          <w:top w:val="nil"/>
          <w:left w:val="nil"/>
          <w:bottom w:val="nil"/>
          <w:right w:val="nil"/>
          <w:between w:val="nil"/>
        </w:pBdr>
        <w:spacing w:line="276" w:lineRule="auto"/>
      </w:pPr>
    </w:p>
    <w:p w14:paraId="50DDDB4B" w14:textId="77777777" w:rsidR="00153D22" w:rsidRDefault="00D24B9A">
      <w:pPr>
        <w:rPr>
          <w:b/>
          <w:sz w:val="32"/>
          <w:szCs w:val="32"/>
        </w:rPr>
      </w:pPr>
      <w:r>
        <w:rPr>
          <w:b/>
          <w:sz w:val="32"/>
          <w:szCs w:val="32"/>
        </w:rPr>
        <w:t xml:space="preserve">Youth Court Standard Fee and Police Station Pricing Uplift </w:t>
      </w:r>
    </w:p>
    <w:p w14:paraId="6A32B179" w14:textId="77777777" w:rsidR="00153D22" w:rsidRDefault="00153D22"/>
    <w:p w14:paraId="35CF5802" w14:textId="77777777" w:rsidR="00153D22" w:rsidRDefault="00153D22"/>
    <w:p w14:paraId="6E701187" w14:textId="77777777" w:rsidR="00153D22" w:rsidRDefault="00D24B9A">
      <w:pPr>
        <w:rPr>
          <w:b/>
        </w:rPr>
      </w:pPr>
      <w:r>
        <w:rPr>
          <w:b/>
        </w:rPr>
        <w:t>Introduction</w:t>
      </w:r>
    </w:p>
    <w:p w14:paraId="5C5D48D9" w14:textId="77777777" w:rsidR="00153D22" w:rsidRDefault="00153D22"/>
    <w:p w14:paraId="01C0A0C0" w14:textId="77777777" w:rsidR="00153D22" w:rsidRDefault="00D24B9A">
      <w:pPr>
        <w:rPr>
          <w:color w:val="3A3A3A"/>
          <w:highlight w:val="white"/>
        </w:rPr>
      </w:pPr>
      <w:r>
        <w:rPr>
          <w:color w:val="3A3A3A"/>
          <w:highlight w:val="white"/>
        </w:rPr>
        <w:t>The Government confirmed a £18.5 million boost for legal aid work undertaken in police stations and £5.1 million invested in Youth Court legal aid work.</w:t>
      </w:r>
      <w:r>
        <w:rPr>
          <w:color w:val="3A3A3A"/>
        </w:rPr>
        <w:br/>
      </w:r>
      <w:hyperlink r:id="rId6">
        <w:r w:rsidR="00153D22">
          <w:rPr>
            <w:color w:val="0056B8"/>
            <w:highlight w:val="white"/>
            <w:u w:val="single"/>
          </w:rPr>
          <w:t>Read more about the announcement</w:t>
        </w:r>
      </w:hyperlink>
      <w:r>
        <w:rPr>
          <w:color w:val="3A3A3A"/>
          <w:highlight w:val="white"/>
        </w:rPr>
        <w:t xml:space="preserve">. </w:t>
      </w:r>
    </w:p>
    <w:p w14:paraId="177737E0" w14:textId="77777777" w:rsidR="00153D22" w:rsidRDefault="00D24B9A">
      <w:r>
        <w:t>In our response to this, we will be implementing changes into CWA to cater for the new Youth Court fees along with pricing uplifts to Police Station fees with an effective date of 6/12/2024. Additional information can be found in the </w:t>
      </w:r>
      <w:hyperlink r:id="rId7">
        <w:r w:rsidR="00153D22">
          <w:rPr>
            <w:color w:val="0000FF"/>
            <w:u w:val="single"/>
          </w:rPr>
          <w:t>Government response to Crime Lower Consultation</w:t>
        </w:r>
      </w:hyperlink>
      <w:r>
        <w:t>, page 16 contains the new Youth Court fees and annex B sets out the new Police Station fees.</w:t>
      </w:r>
    </w:p>
    <w:p w14:paraId="53A75A86" w14:textId="77777777" w:rsidR="00153D22" w:rsidRDefault="00153D22">
      <w:pPr>
        <w:rPr>
          <w:b/>
        </w:rPr>
      </w:pPr>
    </w:p>
    <w:p w14:paraId="5648B1D3" w14:textId="77777777" w:rsidR="00153D22" w:rsidRDefault="00D24B9A">
      <w:pPr>
        <w:rPr>
          <w:b/>
        </w:rPr>
      </w:pPr>
      <w:r>
        <w:rPr>
          <w:b/>
        </w:rPr>
        <w:t>Youth Court Standard Fees</w:t>
      </w:r>
    </w:p>
    <w:p w14:paraId="3DDAE21D" w14:textId="77777777" w:rsidR="00153D22" w:rsidRDefault="00153D22"/>
    <w:p w14:paraId="1121530C" w14:textId="77777777" w:rsidR="00153D22" w:rsidRDefault="00D24B9A">
      <w:r>
        <w:t xml:space="preserve">Below is a summary of the information you will require to report outcomes to utilise the new Youth Court Standard Fees.  Six new stage reached codes have been introduced and the table below details how the combination of the stage reached code along with the standard fee category results in the enhanced fee. </w:t>
      </w:r>
    </w:p>
    <w:p w14:paraId="467BA509" w14:textId="77777777" w:rsidR="00153D22" w:rsidRDefault="00153D22"/>
    <w:tbl>
      <w:tblPr>
        <w:tblStyle w:val="a"/>
        <w:tblW w:w="10490" w:type="dxa"/>
        <w:tblInd w:w="-15" w:type="dxa"/>
        <w:tblLayout w:type="fixed"/>
        <w:tblLook w:val="0400" w:firstRow="0" w:lastRow="0" w:firstColumn="0" w:lastColumn="0" w:noHBand="0" w:noVBand="1"/>
      </w:tblPr>
      <w:tblGrid>
        <w:gridCol w:w="1418"/>
        <w:gridCol w:w="1276"/>
        <w:gridCol w:w="3044"/>
        <w:gridCol w:w="1633"/>
        <w:gridCol w:w="1560"/>
        <w:gridCol w:w="1559"/>
      </w:tblGrid>
      <w:tr w:rsidR="00153D22" w14:paraId="18A4AFD6" w14:textId="77777777">
        <w:trPr>
          <w:trHeight w:val="270"/>
        </w:trPr>
        <w:tc>
          <w:tcPr>
            <w:tcW w:w="1418" w:type="dxa"/>
            <w:tcBorders>
              <w:top w:val="single" w:sz="12" w:space="0" w:color="000000"/>
              <w:left w:val="single" w:sz="12" w:space="0" w:color="000000"/>
              <w:bottom w:val="single" w:sz="12" w:space="0" w:color="000000"/>
              <w:right w:val="single" w:sz="12" w:space="0" w:color="000000"/>
            </w:tcBorders>
            <w:shd w:val="clear" w:color="auto" w:fill="D8D8D8"/>
            <w:tcMar>
              <w:left w:w="115" w:type="dxa"/>
              <w:right w:w="115" w:type="dxa"/>
            </w:tcMar>
            <w:vAlign w:val="center"/>
          </w:tcPr>
          <w:p w14:paraId="10773485" w14:textId="77777777" w:rsidR="00153D22" w:rsidRDefault="00D24B9A">
            <w:pPr>
              <w:spacing w:after="160" w:line="257" w:lineRule="auto"/>
              <w:jc w:val="center"/>
            </w:pPr>
            <w:r>
              <w:rPr>
                <w:rFonts w:ascii="Arial" w:eastAsia="Arial" w:hAnsi="Arial" w:cs="Arial"/>
                <w:b/>
                <w:color w:val="000000"/>
                <w:sz w:val="22"/>
                <w:szCs w:val="22"/>
              </w:rPr>
              <w:t>New Claim Code</w:t>
            </w:r>
          </w:p>
        </w:tc>
        <w:tc>
          <w:tcPr>
            <w:tcW w:w="1276" w:type="dxa"/>
            <w:tcBorders>
              <w:top w:val="single" w:sz="12" w:space="0" w:color="000000"/>
              <w:left w:val="single" w:sz="12" w:space="0" w:color="000000"/>
              <w:bottom w:val="single" w:sz="12" w:space="0" w:color="000000"/>
              <w:right w:val="single" w:sz="12" w:space="0" w:color="000000"/>
            </w:tcBorders>
            <w:shd w:val="clear" w:color="auto" w:fill="D8D8D8"/>
            <w:tcMar>
              <w:left w:w="115" w:type="dxa"/>
              <w:right w:w="115" w:type="dxa"/>
            </w:tcMar>
            <w:vAlign w:val="center"/>
          </w:tcPr>
          <w:p w14:paraId="48269B85" w14:textId="77777777" w:rsidR="00153D22" w:rsidRDefault="00D24B9A">
            <w:pPr>
              <w:spacing w:after="160" w:line="257" w:lineRule="auto"/>
              <w:jc w:val="center"/>
            </w:pPr>
            <w:r>
              <w:rPr>
                <w:rFonts w:ascii="Arial" w:eastAsia="Arial" w:hAnsi="Arial" w:cs="Arial"/>
                <w:b/>
                <w:color w:val="000000"/>
                <w:sz w:val="22"/>
                <w:szCs w:val="22"/>
              </w:rPr>
              <w:t>Standard Fee Category</w:t>
            </w:r>
          </w:p>
        </w:tc>
        <w:tc>
          <w:tcPr>
            <w:tcW w:w="3044" w:type="dxa"/>
            <w:tcBorders>
              <w:top w:val="single" w:sz="12" w:space="0" w:color="000000"/>
              <w:left w:val="single" w:sz="12" w:space="0" w:color="000000"/>
              <w:bottom w:val="single" w:sz="12" w:space="0" w:color="000000"/>
              <w:right w:val="single" w:sz="12" w:space="0" w:color="000000"/>
            </w:tcBorders>
            <w:shd w:val="clear" w:color="auto" w:fill="D8D8D8"/>
            <w:tcMar>
              <w:left w:w="115" w:type="dxa"/>
              <w:right w:w="115" w:type="dxa"/>
            </w:tcMar>
          </w:tcPr>
          <w:p w14:paraId="0C2928EB" w14:textId="77777777" w:rsidR="00153D22" w:rsidRDefault="00D24B9A">
            <w:pPr>
              <w:spacing w:after="160" w:line="257" w:lineRule="auto"/>
              <w:jc w:val="center"/>
            </w:pPr>
            <w:r>
              <w:rPr>
                <w:rFonts w:ascii="Arial" w:eastAsia="Arial" w:hAnsi="Arial" w:cs="Arial"/>
                <w:b/>
                <w:color w:val="000000"/>
                <w:sz w:val="22"/>
                <w:szCs w:val="22"/>
              </w:rPr>
              <w:t xml:space="preserve"> </w:t>
            </w:r>
          </w:p>
          <w:p w14:paraId="22136C8E" w14:textId="77777777" w:rsidR="00153D22" w:rsidRDefault="00D24B9A">
            <w:pPr>
              <w:spacing w:after="160" w:line="257" w:lineRule="auto"/>
              <w:jc w:val="center"/>
            </w:pPr>
            <w:r>
              <w:rPr>
                <w:rFonts w:ascii="Arial" w:eastAsia="Arial" w:hAnsi="Arial" w:cs="Arial"/>
                <w:b/>
                <w:color w:val="000000"/>
                <w:sz w:val="22"/>
                <w:szCs w:val="22"/>
              </w:rPr>
              <w:t>Description</w:t>
            </w:r>
          </w:p>
        </w:tc>
        <w:tc>
          <w:tcPr>
            <w:tcW w:w="1633" w:type="dxa"/>
            <w:tcBorders>
              <w:top w:val="single" w:sz="12" w:space="0" w:color="000000"/>
              <w:left w:val="single" w:sz="12" w:space="0" w:color="000000"/>
              <w:bottom w:val="single" w:sz="12" w:space="0" w:color="000000"/>
              <w:right w:val="single" w:sz="12" w:space="0" w:color="000000"/>
            </w:tcBorders>
            <w:shd w:val="clear" w:color="auto" w:fill="D8D8D8"/>
            <w:tcMar>
              <w:left w:w="115" w:type="dxa"/>
              <w:right w:w="115" w:type="dxa"/>
            </w:tcMar>
            <w:vAlign w:val="center"/>
          </w:tcPr>
          <w:p w14:paraId="5E384B5E" w14:textId="77777777" w:rsidR="00153D22" w:rsidRDefault="00D24B9A">
            <w:pPr>
              <w:spacing w:after="160" w:line="257" w:lineRule="auto"/>
              <w:jc w:val="center"/>
            </w:pPr>
            <w:r>
              <w:rPr>
                <w:rFonts w:ascii="Arial" w:eastAsia="Arial" w:hAnsi="Arial" w:cs="Arial"/>
                <w:b/>
                <w:color w:val="000000"/>
                <w:sz w:val="22"/>
                <w:szCs w:val="22"/>
              </w:rPr>
              <w:t>Designated/Non-Designated Area Standard Fees</w:t>
            </w:r>
          </w:p>
        </w:tc>
        <w:tc>
          <w:tcPr>
            <w:tcW w:w="1560" w:type="dxa"/>
            <w:tcBorders>
              <w:top w:val="single" w:sz="12" w:space="0" w:color="000000"/>
              <w:left w:val="single" w:sz="12" w:space="0" w:color="000000"/>
              <w:bottom w:val="single" w:sz="12" w:space="0" w:color="000000"/>
              <w:right w:val="single" w:sz="12" w:space="0" w:color="000000"/>
            </w:tcBorders>
            <w:shd w:val="clear" w:color="auto" w:fill="D8D8D8"/>
            <w:tcMar>
              <w:left w:w="115" w:type="dxa"/>
              <w:right w:w="115" w:type="dxa"/>
            </w:tcMar>
          </w:tcPr>
          <w:p w14:paraId="30B02F70" w14:textId="77777777" w:rsidR="00153D22" w:rsidRDefault="00D24B9A">
            <w:pPr>
              <w:spacing w:after="160" w:line="257" w:lineRule="auto"/>
              <w:jc w:val="center"/>
            </w:pPr>
            <w:r>
              <w:rPr>
                <w:rFonts w:ascii="Arial" w:eastAsia="Arial" w:hAnsi="Arial" w:cs="Arial"/>
                <w:b/>
                <w:color w:val="000000"/>
                <w:sz w:val="22"/>
                <w:szCs w:val="22"/>
              </w:rPr>
              <w:t xml:space="preserve"> </w:t>
            </w:r>
          </w:p>
          <w:p w14:paraId="7218B0CE" w14:textId="1074829F" w:rsidR="00153D22" w:rsidRDefault="00D24B9A">
            <w:pPr>
              <w:spacing w:after="160" w:line="257" w:lineRule="auto"/>
              <w:jc w:val="center"/>
            </w:pPr>
            <w:r>
              <w:rPr>
                <w:rFonts w:ascii="Arial" w:eastAsia="Arial" w:hAnsi="Arial" w:cs="Arial"/>
                <w:b/>
                <w:color w:val="000000"/>
                <w:sz w:val="22"/>
                <w:szCs w:val="22"/>
              </w:rPr>
              <w:t>Lower/Higher fee</w:t>
            </w:r>
          </w:p>
        </w:tc>
        <w:tc>
          <w:tcPr>
            <w:tcW w:w="1559" w:type="dxa"/>
            <w:tcBorders>
              <w:top w:val="single" w:sz="12" w:space="0" w:color="000000"/>
              <w:left w:val="single" w:sz="12" w:space="0" w:color="000000"/>
              <w:bottom w:val="single" w:sz="12" w:space="0" w:color="000000"/>
              <w:right w:val="single" w:sz="12" w:space="0" w:color="000000"/>
            </w:tcBorders>
            <w:shd w:val="clear" w:color="auto" w:fill="C9C9C9"/>
            <w:tcMar>
              <w:left w:w="115" w:type="dxa"/>
              <w:right w:w="115" w:type="dxa"/>
            </w:tcMar>
          </w:tcPr>
          <w:p w14:paraId="3843B5DD" w14:textId="77777777" w:rsidR="00153D22" w:rsidRDefault="00D24B9A">
            <w:pPr>
              <w:spacing w:after="160" w:line="257" w:lineRule="auto"/>
              <w:jc w:val="center"/>
            </w:pPr>
            <w:r>
              <w:rPr>
                <w:rFonts w:ascii="Arial" w:eastAsia="Arial" w:hAnsi="Arial" w:cs="Arial"/>
                <w:b/>
                <w:color w:val="000000"/>
                <w:sz w:val="22"/>
                <w:szCs w:val="22"/>
              </w:rPr>
              <w:t>New Youth Court Standard Fee</w:t>
            </w:r>
          </w:p>
        </w:tc>
      </w:tr>
      <w:tr w:rsidR="00153D22" w14:paraId="68A83086"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0FA6256" w14:textId="77777777" w:rsidR="00153D22" w:rsidRDefault="00D24B9A">
            <w:pPr>
              <w:spacing w:after="160" w:line="257" w:lineRule="auto"/>
              <w:jc w:val="both"/>
            </w:pPr>
            <w:r>
              <w:rPr>
                <w:rFonts w:ascii="Arial" w:eastAsia="Arial" w:hAnsi="Arial" w:cs="Arial"/>
                <w:b/>
                <w:color w:val="000000"/>
                <w:sz w:val="22"/>
                <w:szCs w:val="22"/>
              </w:rPr>
              <w:t>YOUE</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209B3C8F" w14:textId="77777777" w:rsidR="00153D22" w:rsidRDefault="00D24B9A">
            <w:pPr>
              <w:spacing w:after="160" w:line="257" w:lineRule="auto"/>
              <w:jc w:val="both"/>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7E6F0014"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3630B93"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9BFAB7F"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1922D73E" w14:textId="77777777" w:rsidR="00153D22" w:rsidRDefault="00D24B9A">
            <w:pPr>
              <w:spacing w:after="160" w:line="257" w:lineRule="auto"/>
            </w:pPr>
            <w:r>
              <w:rPr>
                <w:rFonts w:ascii="Arial" w:eastAsia="Arial" w:hAnsi="Arial" w:cs="Arial"/>
                <w:color w:val="000000"/>
                <w:sz w:val="22"/>
                <w:szCs w:val="22"/>
              </w:rPr>
              <w:t>£182.01</w:t>
            </w:r>
          </w:p>
        </w:tc>
      </w:tr>
      <w:tr w:rsidR="00153D22" w14:paraId="60AB5455"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175A7E11" w14:textId="77777777" w:rsidR="00153D22" w:rsidRDefault="00D24B9A">
            <w:pPr>
              <w:spacing w:after="160" w:line="257" w:lineRule="auto"/>
              <w:jc w:val="both"/>
            </w:pPr>
            <w:r>
              <w:rPr>
                <w:rFonts w:ascii="Arial" w:eastAsia="Arial" w:hAnsi="Arial" w:cs="Arial"/>
                <w:b/>
                <w:color w:val="000000"/>
                <w:sz w:val="22"/>
                <w:szCs w:val="22"/>
              </w:rPr>
              <w:t>YOUE</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5A30F8C" w14:textId="77777777" w:rsidR="00153D22" w:rsidRDefault="00D24B9A">
            <w:pPr>
              <w:spacing w:after="160" w:line="257" w:lineRule="auto"/>
              <w:jc w:val="both"/>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5B981844"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74E7E18F"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7EC52AA0"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6D0129BE" w14:textId="77777777" w:rsidR="00153D22" w:rsidRDefault="00D24B9A">
            <w:pPr>
              <w:spacing w:after="160" w:line="257" w:lineRule="auto"/>
            </w:pPr>
            <w:r>
              <w:rPr>
                <w:rFonts w:ascii="Arial" w:eastAsia="Arial" w:hAnsi="Arial" w:cs="Arial"/>
                <w:color w:val="000000"/>
                <w:sz w:val="22"/>
                <w:szCs w:val="22"/>
              </w:rPr>
              <w:t>£822.47</w:t>
            </w:r>
          </w:p>
        </w:tc>
      </w:tr>
      <w:tr w:rsidR="00153D22" w14:paraId="58154457"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27CF39E4" w14:textId="77777777" w:rsidR="00153D22" w:rsidRDefault="00D24B9A">
            <w:pPr>
              <w:spacing w:after="160" w:line="257" w:lineRule="auto"/>
              <w:jc w:val="both"/>
            </w:pPr>
            <w:r>
              <w:rPr>
                <w:rFonts w:ascii="Arial" w:eastAsia="Arial" w:hAnsi="Arial" w:cs="Arial"/>
                <w:b/>
                <w:color w:val="000000"/>
                <w:sz w:val="22"/>
                <w:szCs w:val="22"/>
              </w:rPr>
              <w:t>YOUE</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3ECA0B7" w14:textId="77777777" w:rsidR="00153D22" w:rsidRDefault="00D24B9A">
            <w:pPr>
              <w:spacing w:after="160" w:line="257" w:lineRule="auto"/>
              <w:jc w:val="both"/>
            </w:pPr>
            <w:r>
              <w:rPr>
                <w:rFonts w:ascii="Arial" w:eastAsia="Arial" w:hAnsi="Arial" w:cs="Arial"/>
                <w:color w:val="000000"/>
                <w:sz w:val="22"/>
                <w:szCs w:val="22"/>
              </w:rPr>
              <w:t xml:space="preserve">CAT 2B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7DE71DC"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6BC2D58B"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2C87206C"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56F38A80" w14:textId="77777777" w:rsidR="00153D22" w:rsidRDefault="00D24B9A">
            <w:pPr>
              <w:spacing w:after="160" w:line="257" w:lineRule="auto"/>
            </w:pPr>
            <w:r>
              <w:rPr>
                <w:rFonts w:ascii="Arial" w:eastAsia="Arial" w:hAnsi="Arial" w:cs="Arial"/>
                <w:color w:val="000000"/>
                <w:sz w:val="22"/>
                <w:szCs w:val="22"/>
              </w:rPr>
              <w:t>£321.37</w:t>
            </w:r>
          </w:p>
        </w:tc>
      </w:tr>
      <w:tr w:rsidR="00153D22" w14:paraId="747CE3DB"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42EB9067" w14:textId="77777777" w:rsidR="00153D22" w:rsidRDefault="00D24B9A">
            <w:pPr>
              <w:spacing w:after="160" w:line="257" w:lineRule="auto"/>
              <w:jc w:val="both"/>
            </w:pPr>
            <w:r>
              <w:rPr>
                <w:rFonts w:ascii="Arial" w:eastAsia="Arial" w:hAnsi="Arial" w:cs="Arial"/>
                <w:b/>
                <w:color w:val="000000"/>
                <w:sz w:val="22"/>
                <w:szCs w:val="22"/>
              </w:rPr>
              <w:t>YOUE</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620F8E3E" w14:textId="77777777" w:rsidR="00153D22" w:rsidRDefault="00D24B9A">
            <w:pPr>
              <w:spacing w:after="160" w:line="257" w:lineRule="auto"/>
              <w:jc w:val="both"/>
            </w:pPr>
            <w:r>
              <w:rPr>
                <w:rFonts w:ascii="Arial" w:eastAsia="Arial" w:hAnsi="Arial" w:cs="Arial"/>
                <w:color w:val="000000"/>
                <w:sz w:val="22"/>
                <w:szCs w:val="22"/>
              </w:rPr>
              <w:t xml:space="preserve">CAT 2A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09D0BDAA"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808CDC5"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74CABC14"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209E5057" w14:textId="77777777" w:rsidR="00153D22" w:rsidRDefault="00D24B9A">
            <w:pPr>
              <w:spacing w:after="160" w:line="257" w:lineRule="auto"/>
            </w:pPr>
            <w:r>
              <w:rPr>
                <w:rFonts w:ascii="Arial" w:eastAsia="Arial" w:hAnsi="Arial" w:cs="Arial"/>
                <w:color w:val="000000"/>
                <w:sz w:val="22"/>
                <w:szCs w:val="22"/>
              </w:rPr>
              <w:t>£919.96</w:t>
            </w:r>
          </w:p>
        </w:tc>
      </w:tr>
      <w:tr w:rsidR="00153D22" w14:paraId="0D0130F1"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63E48FC" w14:textId="77777777" w:rsidR="00153D22" w:rsidRDefault="00D24B9A">
            <w:pPr>
              <w:spacing w:after="160" w:line="257" w:lineRule="auto"/>
              <w:jc w:val="both"/>
            </w:pPr>
            <w:r>
              <w:rPr>
                <w:rFonts w:ascii="Arial" w:eastAsia="Arial" w:hAnsi="Arial" w:cs="Arial"/>
                <w:b/>
                <w:color w:val="000000"/>
                <w:sz w:val="22"/>
                <w:szCs w:val="22"/>
              </w:rPr>
              <w:t>YOUF</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4E82D246" w14:textId="77777777" w:rsidR="00153D22" w:rsidRDefault="00D24B9A">
            <w:pPr>
              <w:spacing w:after="160" w:line="257" w:lineRule="auto"/>
              <w:jc w:val="both"/>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BC9A279"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16AA3AB"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315BB4E"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73BF4D30" w14:textId="77777777" w:rsidR="00153D22" w:rsidRDefault="00D24B9A">
            <w:pPr>
              <w:spacing w:after="160" w:line="257" w:lineRule="auto"/>
            </w:pPr>
            <w:r>
              <w:rPr>
                <w:rFonts w:ascii="Arial" w:eastAsia="Arial" w:hAnsi="Arial" w:cs="Arial"/>
                <w:color w:val="000000"/>
                <w:sz w:val="22"/>
                <w:szCs w:val="22"/>
              </w:rPr>
              <w:t>£437.81</w:t>
            </w:r>
          </w:p>
        </w:tc>
      </w:tr>
      <w:tr w:rsidR="00153D22" w14:paraId="0CBCA412"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1BF3365" w14:textId="77777777" w:rsidR="00153D22" w:rsidRDefault="00D24B9A">
            <w:pPr>
              <w:spacing w:after="160" w:line="257" w:lineRule="auto"/>
              <w:jc w:val="both"/>
            </w:pPr>
            <w:r>
              <w:rPr>
                <w:rFonts w:ascii="Arial" w:eastAsia="Arial" w:hAnsi="Arial" w:cs="Arial"/>
                <w:b/>
                <w:color w:val="000000"/>
                <w:sz w:val="22"/>
                <w:szCs w:val="22"/>
              </w:rPr>
              <w:t>YOUF</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1F2352C1" w14:textId="77777777" w:rsidR="00153D22" w:rsidRDefault="00D24B9A">
            <w:pPr>
              <w:spacing w:after="160" w:line="257" w:lineRule="auto"/>
              <w:jc w:val="both"/>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292A7E46"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5E3B0AD6"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1A1B918E"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2EABB7F3" w14:textId="77777777" w:rsidR="00153D22" w:rsidRDefault="00D24B9A">
            <w:pPr>
              <w:spacing w:after="160" w:line="257" w:lineRule="auto"/>
            </w:pPr>
            <w:r>
              <w:rPr>
                <w:rFonts w:ascii="Arial" w:eastAsia="Arial" w:hAnsi="Arial" w:cs="Arial"/>
                <w:color w:val="000000"/>
                <w:sz w:val="22"/>
                <w:szCs w:val="22"/>
              </w:rPr>
              <w:t>£1,072.74</w:t>
            </w:r>
          </w:p>
        </w:tc>
      </w:tr>
      <w:tr w:rsidR="00153D22" w14:paraId="284B43A1"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3BEF0242" w14:textId="77777777" w:rsidR="00153D22" w:rsidRDefault="00D24B9A">
            <w:pPr>
              <w:spacing w:after="160" w:line="257" w:lineRule="auto"/>
              <w:jc w:val="both"/>
            </w:pPr>
            <w:r>
              <w:rPr>
                <w:rFonts w:ascii="Arial" w:eastAsia="Arial" w:hAnsi="Arial" w:cs="Arial"/>
                <w:b/>
                <w:color w:val="000000"/>
                <w:sz w:val="22"/>
                <w:szCs w:val="22"/>
              </w:rPr>
              <w:t>YOUF</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B366EE6" w14:textId="77777777" w:rsidR="00153D22" w:rsidRDefault="00D24B9A">
            <w:pPr>
              <w:spacing w:after="160" w:line="257" w:lineRule="auto"/>
              <w:jc w:val="both"/>
            </w:pPr>
            <w:r>
              <w:rPr>
                <w:rFonts w:ascii="Arial" w:eastAsia="Arial" w:hAnsi="Arial" w:cs="Arial"/>
                <w:color w:val="000000"/>
                <w:sz w:val="22"/>
                <w:szCs w:val="22"/>
              </w:rPr>
              <w:t xml:space="preserve">CAT 2B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52494DFD"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6141B3FB"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0A2928E"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67DD1A6A" w14:textId="77777777" w:rsidR="00153D22" w:rsidRDefault="00D24B9A">
            <w:pPr>
              <w:spacing w:after="160" w:line="257" w:lineRule="auto"/>
            </w:pPr>
            <w:r>
              <w:rPr>
                <w:rFonts w:ascii="Arial" w:eastAsia="Arial" w:hAnsi="Arial" w:cs="Arial"/>
                <w:color w:val="000000"/>
                <w:sz w:val="22"/>
                <w:szCs w:val="22"/>
              </w:rPr>
              <w:t>£737.08</w:t>
            </w:r>
          </w:p>
        </w:tc>
      </w:tr>
      <w:tr w:rsidR="00153D22" w14:paraId="0E52079D"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6A6E3946" w14:textId="77777777" w:rsidR="00153D22" w:rsidRDefault="00D24B9A">
            <w:pPr>
              <w:spacing w:after="160" w:line="257" w:lineRule="auto"/>
              <w:jc w:val="both"/>
            </w:pPr>
            <w:r>
              <w:rPr>
                <w:rFonts w:ascii="Arial" w:eastAsia="Arial" w:hAnsi="Arial" w:cs="Arial"/>
                <w:b/>
                <w:color w:val="000000"/>
                <w:sz w:val="22"/>
                <w:szCs w:val="22"/>
              </w:rPr>
              <w:lastRenderedPageBreak/>
              <w:t>YOUF</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1981EB4" w14:textId="77777777" w:rsidR="00153D22" w:rsidRDefault="00D24B9A">
            <w:pPr>
              <w:spacing w:after="160" w:line="257" w:lineRule="auto"/>
              <w:jc w:val="both"/>
            </w:pPr>
            <w:r>
              <w:rPr>
                <w:rFonts w:ascii="Arial" w:eastAsia="Arial" w:hAnsi="Arial" w:cs="Arial"/>
                <w:color w:val="000000"/>
                <w:sz w:val="22"/>
                <w:szCs w:val="22"/>
              </w:rPr>
              <w:t xml:space="preserve">CAT 2A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63DEA4EC"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6F69E126"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4BEF72D4"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3C150AF4" w14:textId="77777777" w:rsidR="00153D22" w:rsidRDefault="00D24B9A">
            <w:pPr>
              <w:spacing w:after="160" w:line="257" w:lineRule="auto"/>
            </w:pPr>
            <w:r>
              <w:rPr>
                <w:rFonts w:ascii="Arial" w:eastAsia="Arial" w:hAnsi="Arial" w:cs="Arial"/>
                <w:color w:val="000000"/>
                <w:sz w:val="22"/>
                <w:szCs w:val="22"/>
              </w:rPr>
              <w:t>£1,335.67</w:t>
            </w:r>
          </w:p>
        </w:tc>
      </w:tr>
      <w:tr w:rsidR="00153D22" w14:paraId="1699F426"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BFAC4C2" w14:textId="77777777" w:rsidR="00153D22" w:rsidRDefault="00D24B9A">
            <w:pPr>
              <w:spacing w:after="160" w:line="257" w:lineRule="auto"/>
              <w:jc w:val="both"/>
            </w:pPr>
            <w:r>
              <w:rPr>
                <w:rFonts w:ascii="Arial" w:eastAsia="Arial" w:hAnsi="Arial" w:cs="Arial"/>
                <w:b/>
                <w:color w:val="000000"/>
                <w:sz w:val="22"/>
                <w:szCs w:val="22"/>
              </w:rPr>
              <w:t>YOUK</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E5B458E" w14:textId="77777777" w:rsidR="00153D22" w:rsidRDefault="00D24B9A">
            <w:pPr>
              <w:spacing w:after="160" w:line="257" w:lineRule="auto"/>
              <w:jc w:val="both"/>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6E8834D2" w14:textId="77777777" w:rsidR="00153D22" w:rsidRDefault="00D24B9A">
            <w:pPr>
              <w:spacing w:after="160" w:line="257" w:lineRule="auto"/>
              <w:jc w:val="both"/>
            </w:pPr>
            <w:r>
              <w:rPr>
                <w:rFonts w:ascii="Arial" w:eastAsia="Arial" w:hAnsi="Arial" w:cs="Arial"/>
                <w:color w:val="000000"/>
                <w:sz w:val="22"/>
                <w:szCs w:val="22"/>
              </w:rPr>
              <w:t>Youth Representation Order (Designated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A5F4D21"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51EDA1C"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7BA22608" w14:textId="77777777" w:rsidR="00153D22" w:rsidRDefault="00D24B9A">
            <w:pPr>
              <w:spacing w:after="160" w:line="257" w:lineRule="auto"/>
            </w:pPr>
            <w:r>
              <w:rPr>
                <w:rFonts w:ascii="Arial" w:eastAsia="Arial" w:hAnsi="Arial" w:cs="Arial"/>
                <w:color w:val="000000"/>
                <w:sz w:val="22"/>
                <w:szCs w:val="22"/>
              </w:rPr>
              <w:t>£232.53</w:t>
            </w:r>
          </w:p>
        </w:tc>
      </w:tr>
      <w:tr w:rsidR="00153D22" w14:paraId="017B8D52"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B38175E" w14:textId="77777777" w:rsidR="00153D22" w:rsidRDefault="00D24B9A">
            <w:pPr>
              <w:spacing w:after="160" w:line="257" w:lineRule="auto"/>
              <w:jc w:val="both"/>
            </w:pPr>
            <w:r>
              <w:rPr>
                <w:rFonts w:ascii="Arial" w:eastAsia="Arial" w:hAnsi="Arial" w:cs="Arial"/>
                <w:b/>
                <w:color w:val="000000"/>
                <w:sz w:val="22"/>
                <w:szCs w:val="22"/>
              </w:rPr>
              <w:t>YOUK</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1E54884" w14:textId="77777777" w:rsidR="00153D22" w:rsidRDefault="00D24B9A">
            <w:pPr>
              <w:spacing w:after="160" w:line="257" w:lineRule="auto"/>
              <w:jc w:val="both"/>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741BC1D9" w14:textId="77777777" w:rsidR="00153D22" w:rsidRDefault="00D24B9A">
            <w:pPr>
              <w:spacing w:after="160" w:line="257" w:lineRule="auto"/>
              <w:jc w:val="both"/>
            </w:pPr>
            <w:r>
              <w:rPr>
                <w:rFonts w:ascii="Arial" w:eastAsia="Arial" w:hAnsi="Arial" w:cs="Arial"/>
                <w:color w:val="000000"/>
                <w:sz w:val="22"/>
                <w:szCs w:val="22"/>
              </w:rPr>
              <w:t>Youth Representation Order (Designated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67E89020"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5FEE03D9"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49168F12" w14:textId="77777777" w:rsidR="00153D22" w:rsidRDefault="00D24B9A">
            <w:pPr>
              <w:spacing w:after="160" w:line="257" w:lineRule="auto"/>
            </w:pPr>
            <w:r>
              <w:rPr>
                <w:rFonts w:ascii="Arial" w:eastAsia="Arial" w:hAnsi="Arial" w:cs="Arial"/>
                <w:color w:val="000000"/>
                <w:sz w:val="22"/>
                <w:szCs w:val="22"/>
              </w:rPr>
              <w:t>£884.61</w:t>
            </w:r>
          </w:p>
        </w:tc>
      </w:tr>
      <w:tr w:rsidR="00153D22" w14:paraId="5BA69941"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BE925DA" w14:textId="77777777" w:rsidR="00153D22" w:rsidRDefault="00D24B9A">
            <w:pPr>
              <w:spacing w:after="160" w:line="257" w:lineRule="auto"/>
              <w:jc w:val="both"/>
            </w:pPr>
            <w:r>
              <w:rPr>
                <w:rFonts w:ascii="Arial" w:eastAsia="Arial" w:hAnsi="Arial" w:cs="Arial"/>
                <w:b/>
                <w:color w:val="000000"/>
                <w:sz w:val="22"/>
                <w:szCs w:val="22"/>
              </w:rPr>
              <w:t>YOUK</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3A5E1CB3" w14:textId="77777777" w:rsidR="00153D22" w:rsidRDefault="00D24B9A">
            <w:pPr>
              <w:spacing w:after="160" w:line="257" w:lineRule="auto"/>
              <w:jc w:val="both"/>
            </w:pPr>
            <w:r>
              <w:rPr>
                <w:rFonts w:ascii="Arial" w:eastAsia="Arial" w:hAnsi="Arial" w:cs="Arial"/>
                <w:color w:val="000000"/>
                <w:sz w:val="22"/>
                <w:szCs w:val="22"/>
              </w:rPr>
              <w:t xml:space="preserve">CAT 2B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477FD1D3" w14:textId="77777777" w:rsidR="00153D22" w:rsidRDefault="00D24B9A">
            <w:pPr>
              <w:spacing w:after="160" w:line="257" w:lineRule="auto"/>
              <w:jc w:val="both"/>
            </w:pPr>
            <w:r>
              <w:rPr>
                <w:rFonts w:ascii="Arial" w:eastAsia="Arial" w:hAnsi="Arial" w:cs="Arial"/>
                <w:color w:val="000000"/>
                <w:sz w:val="22"/>
                <w:szCs w:val="22"/>
              </w:rPr>
              <w:t>Youth Representation Order (Designated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DA15A7B"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218D776"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E0E74E1" w14:textId="77777777" w:rsidR="00153D22" w:rsidRDefault="00D24B9A">
            <w:pPr>
              <w:spacing w:after="160" w:line="257" w:lineRule="auto"/>
            </w:pPr>
            <w:r>
              <w:rPr>
                <w:rFonts w:ascii="Arial" w:eastAsia="Arial" w:hAnsi="Arial" w:cs="Arial"/>
                <w:color w:val="000000"/>
                <w:sz w:val="22"/>
                <w:szCs w:val="22"/>
              </w:rPr>
              <w:t>£397.14</w:t>
            </w:r>
          </w:p>
        </w:tc>
      </w:tr>
      <w:tr w:rsidR="00153D22" w14:paraId="16AF293D"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1524854" w14:textId="77777777" w:rsidR="00153D22" w:rsidRDefault="00D24B9A">
            <w:pPr>
              <w:spacing w:after="160" w:line="257" w:lineRule="auto"/>
              <w:jc w:val="both"/>
            </w:pPr>
            <w:r>
              <w:rPr>
                <w:rFonts w:ascii="Arial" w:eastAsia="Arial" w:hAnsi="Arial" w:cs="Arial"/>
                <w:b/>
                <w:color w:val="000000"/>
                <w:sz w:val="22"/>
                <w:szCs w:val="22"/>
              </w:rPr>
              <w:t>YOUK</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6CAD7FB3" w14:textId="77777777" w:rsidR="00153D22" w:rsidRDefault="00D24B9A">
            <w:pPr>
              <w:spacing w:after="160" w:line="257" w:lineRule="auto"/>
              <w:jc w:val="both"/>
            </w:pPr>
            <w:r>
              <w:rPr>
                <w:rFonts w:ascii="Arial" w:eastAsia="Arial" w:hAnsi="Arial" w:cs="Arial"/>
                <w:color w:val="000000"/>
                <w:sz w:val="22"/>
                <w:szCs w:val="22"/>
              </w:rPr>
              <w:t xml:space="preserve">CAT 2A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5708F747" w14:textId="77777777" w:rsidR="00153D22" w:rsidRDefault="00D24B9A">
            <w:pPr>
              <w:spacing w:after="160" w:line="257" w:lineRule="auto"/>
              <w:jc w:val="both"/>
            </w:pPr>
            <w:r>
              <w:rPr>
                <w:rFonts w:ascii="Arial" w:eastAsia="Arial" w:hAnsi="Arial" w:cs="Arial"/>
                <w:color w:val="000000"/>
                <w:sz w:val="22"/>
                <w:szCs w:val="22"/>
              </w:rPr>
              <w:t>Youth Representation Order (Designated Area) – Lower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E034560"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2E891A8A"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5CCBEF7B" w14:textId="77777777" w:rsidR="00153D22" w:rsidRDefault="00D24B9A">
            <w:pPr>
              <w:spacing w:after="160" w:line="257" w:lineRule="auto"/>
            </w:pPr>
            <w:r>
              <w:rPr>
                <w:rFonts w:ascii="Arial" w:eastAsia="Arial" w:hAnsi="Arial" w:cs="Arial"/>
                <w:color w:val="000000"/>
                <w:sz w:val="22"/>
                <w:szCs w:val="22"/>
              </w:rPr>
              <w:t>£995.73</w:t>
            </w:r>
          </w:p>
        </w:tc>
      </w:tr>
      <w:tr w:rsidR="00153D22" w14:paraId="21006654"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8CDBDAF" w14:textId="77777777" w:rsidR="00153D22" w:rsidRDefault="00D24B9A">
            <w:pPr>
              <w:spacing w:after="160" w:line="257" w:lineRule="auto"/>
              <w:jc w:val="both"/>
            </w:pPr>
            <w:r>
              <w:rPr>
                <w:rFonts w:ascii="Arial" w:eastAsia="Arial" w:hAnsi="Arial" w:cs="Arial"/>
                <w:b/>
                <w:color w:val="000000"/>
                <w:sz w:val="22"/>
                <w:szCs w:val="22"/>
              </w:rPr>
              <w:t>YOUL</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67F2C913" w14:textId="77777777" w:rsidR="00153D22" w:rsidRDefault="00D24B9A">
            <w:pPr>
              <w:spacing w:after="160" w:line="257" w:lineRule="auto"/>
              <w:jc w:val="both"/>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6818CA52" w14:textId="77777777" w:rsidR="00153D22" w:rsidRDefault="00D24B9A">
            <w:pPr>
              <w:spacing w:after="160" w:line="257" w:lineRule="auto"/>
              <w:jc w:val="both"/>
            </w:pPr>
            <w:r>
              <w:rPr>
                <w:rFonts w:ascii="Arial" w:eastAsia="Arial" w:hAnsi="Arial" w:cs="Arial"/>
                <w:color w:val="000000"/>
                <w:sz w:val="22"/>
                <w:szCs w:val="22"/>
              </w:rPr>
              <w:t>Youth Representation Order (Designated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1A16A5A0"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71DCABEF"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9BCF499" w14:textId="77777777" w:rsidR="00153D22" w:rsidRDefault="00D24B9A">
            <w:pPr>
              <w:spacing w:after="160" w:line="257" w:lineRule="auto"/>
            </w:pPr>
            <w:r>
              <w:rPr>
                <w:rFonts w:ascii="Arial" w:eastAsia="Arial" w:hAnsi="Arial" w:cs="Arial"/>
                <w:color w:val="000000"/>
                <w:sz w:val="22"/>
                <w:szCs w:val="22"/>
              </w:rPr>
              <w:t>£500.99</w:t>
            </w:r>
          </w:p>
        </w:tc>
      </w:tr>
      <w:tr w:rsidR="00153D22" w14:paraId="41F56292"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276268B4" w14:textId="77777777" w:rsidR="00153D22" w:rsidRDefault="00D24B9A">
            <w:pPr>
              <w:spacing w:after="160" w:line="257" w:lineRule="auto"/>
              <w:jc w:val="both"/>
            </w:pPr>
            <w:r>
              <w:rPr>
                <w:rFonts w:ascii="Arial" w:eastAsia="Arial" w:hAnsi="Arial" w:cs="Arial"/>
                <w:b/>
                <w:color w:val="000000"/>
                <w:sz w:val="22"/>
                <w:szCs w:val="22"/>
              </w:rPr>
              <w:t>YOUL</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557801C" w14:textId="77777777" w:rsidR="00153D22" w:rsidRDefault="00D24B9A">
            <w:pPr>
              <w:spacing w:after="160" w:line="257" w:lineRule="auto"/>
              <w:jc w:val="both"/>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08DA66ED" w14:textId="77777777" w:rsidR="00153D22" w:rsidRDefault="00D24B9A">
            <w:pPr>
              <w:spacing w:after="160" w:line="257" w:lineRule="auto"/>
              <w:jc w:val="both"/>
            </w:pPr>
            <w:r>
              <w:rPr>
                <w:rFonts w:ascii="Arial" w:eastAsia="Arial" w:hAnsi="Arial" w:cs="Arial"/>
                <w:color w:val="000000"/>
                <w:sz w:val="22"/>
                <w:szCs w:val="22"/>
              </w:rPr>
              <w:t>Youth Representation Order (Designated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3DAB40C7"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6DE0F259"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69BE3B4A" w14:textId="77777777" w:rsidR="00153D22" w:rsidRDefault="00D24B9A">
            <w:pPr>
              <w:spacing w:after="160" w:line="257" w:lineRule="auto"/>
            </w:pPr>
            <w:r>
              <w:rPr>
                <w:rFonts w:ascii="Arial" w:eastAsia="Arial" w:hAnsi="Arial" w:cs="Arial"/>
                <w:color w:val="000000"/>
                <w:sz w:val="22"/>
                <w:szCs w:val="22"/>
              </w:rPr>
              <w:t>£1,141.17</w:t>
            </w:r>
          </w:p>
        </w:tc>
      </w:tr>
      <w:tr w:rsidR="00153D22" w14:paraId="240FA108"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DD348F6" w14:textId="77777777" w:rsidR="00153D22" w:rsidRDefault="00D24B9A">
            <w:pPr>
              <w:spacing w:after="160" w:line="257" w:lineRule="auto"/>
              <w:jc w:val="both"/>
            </w:pPr>
            <w:r>
              <w:rPr>
                <w:rFonts w:ascii="Arial" w:eastAsia="Arial" w:hAnsi="Arial" w:cs="Arial"/>
                <w:b/>
                <w:color w:val="000000"/>
                <w:sz w:val="22"/>
                <w:szCs w:val="22"/>
              </w:rPr>
              <w:t>YOUL</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2DA301F9" w14:textId="77777777" w:rsidR="00153D22" w:rsidRDefault="00D24B9A">
            <w:pPr>
              <w:spacing w:after="160" w:line="257" w:lineRule="auto"/>
              <w:jc w:val="both"/>
            </w:pPr>
            <w:r>
              <w:rPr>
                <w:rFonts w:ascii="Arial" w:eastAsia="Arial" w:hAnsi="Arial" w:cs="Arial"/>
                <w:color w:val="000000"/>
                <w:sz w:val="22"/>
                <w:szCs w:val="22"/>
              </w:rPr>
              <w:t xml:space="preserve">CAT 2B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618F89FE" w14:textId="77777777" w:rsidR="00153D22" w:rsidRDefault="00D24B9A">
            <w:pPr>
              <w:spacing w:after="160" w:line="257" w:lineRule="auto"/>
              <w:jc w:val="both"/>
            </w:pPr>
            <w:r>
              <w:rPr>
                <w:rFonts w:ascii="Arial" w:eastAsia="Arial" w:hAnsi="Arial" w:cs="Arial"/>
                <w:color w:val="000000"/>
                <w:sz w:val="22"/>
                <w:szCs w:val="22"/>
              </w:rPr>
              <w:t>Youth Representation Order (Designated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5AADBBA0"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5603C79C"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6A0D8762" w14:textId="77777777" w:rsidR="00153D22" w:rsidRDefault="00D24B9A">
            <w:pPr>
              <w:spacing w:after="160" w:line="257" w:lineRule="auto"/>
              <w:jc w:val="both"/>
            </w:pPr>
            <w:r>
              <w:rPr>
                <w:rFonts w:ascii="Arial" w:eastAsia="Arial" w:hAnsi="Arial" w:cs="Arial"/>
                <w:color w:val="000000"/>
                <w:sz w:val="22"/>
                <w:szCs w:val="22"/>
              </w:rPr>
              <w:t>£831.85</w:t>
            </w:r>
          </w:p>
        </w:tc>
      </w:tr>
      <w:tr w:rsidR="00153D22" w14:paraId="31CFB4C2" w14:textId="77777777">
        <w:trPr>
          <w:trHeight w:val="300"/>
        </w:trPr>
        <w:tc>
          <w:tcPr>
            <w:tcW w:w="1418"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6A16F00" w14:textId="77777777" w:rsidR="00153D22" w:rsidRDefault="00D24B9A">
            <w:pPr>
              <w:spacing w:after="160" w:line="257" w:lineRule="auto"/>
              <w:jc w:val="both"/>
            </w:pPr>
            <w:r>
              <w:rPr>
                <w:rFonts w:ascii="Arial" w:eastAsia="Arial" w:hAnsi="Arial" w:cs="Arial"/>
                <w:b/>
                <w:color w:val="000000"/>
                <w:sz w:val="22"/>
                <w:szCs w:val="22"/>
              </w:rPr>
              <w:t>YOUL</w:t>
            </w:r>
          </w:p>
        </w:tc>
        <w:tc>
          <w:tcPr>
            <w:tcW w:w="1276"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7A2C043A" w14:textId="77777777" w:rsidR="00153D22" w:rsidRDefault="00D24B9A">
            <w:pPr>
              <w:spacing w:after="160" w:line="257" w:lineRule="auto"/>
              <w:jc w:val="both"/>
            </w:pPr>
            <w:r>
              <w:rPr>
                <w:rFonts w:ascii="Arial" w:eastAsia="Arial" w:hAnsi="Arial" w:cs="Arial"/>
                <w:color w:val="000000"/>
                <w:sz w:val="22"/>
                <w:szCs w:val="22"/>
              </w:rPr>
              <w:t xml:space="preserve">CAT 2A   </w:t>
            </w:r>
          </w:p>
        </w:tc>
        <w:tc>
          <w:tcPr>
            <w:tcW w:w="3044"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05AB0BE0" w14:textId="77777777" w:rsidR="00153D22" w:rsidRDefault="00D24B9A">
            <w:pPr>
              <w:spacing w:after="160" w:line="257" w:lineRule="auto"/>
              <w:jc w:val="both"/>
            </w:pPr>
            <w:r>
              <w:rPr>
                <w:rFonts w:ascii="Arial" w:eastAsia="Arial" w:hAnsi="Arial" w:cs="Arial"/>
                <w:color w:val="000000"/>
                <w:sz w:val="22"/>
                <w:szCs w:val="22"/>
              </w:rPr>
              <w:t>Youth Representation Order (Designated Area) – Higher Standard Fee</w:t>
            </w:r>
          </w:p>
        </w:tc>
        <w:tc>
          <w:tcPr>
            <w:tcW w:w="1633" w:type="dxa"/>
            <w:tcBorders>
              <w:top w:val="single" w:sz="12" w:space="0" w:color="000000"/>
              <w:left w:val="single" w:sz="12" w:space="0" w:color="000000"/>
              <w:bottom w:val="single" w:sz="12" w:space="0" w:color="000000"/>
              <w:right w:val="single" w:sz="12" w:space="0" w:color="000000"/>
            </w:tcBorders>
            <w:tcMar>
              <w:left w:w="115" w:type="dxa"/>
              <w:right w:w="115" w:type="dxa"/>
            </w:tcMar>
            <w:vAlign w:val="center"/>
          </w:tcPr>
          <w:p w14:paraId="0DF34BF2" w14:textId="77777777" w:rsidR="00153D22" w:rsidRDefault="00D24B9A">
            <w:pPr>
              <w:spacing w:after="160" w:line="257" w:lineRule="auto"/>
              <w:jc w:val="both"/>
            </w:pPr>
            <w:r>
              <w:rPr>
                <w:rFonts w:ascii="Arial" w:eastAsia="Arial" w:hAnsi="Arial" w:cs="Arial"/>
                <w:color w:val="000000"/>
                <w:sz w:val="22"/>
                <w:szCs w:val="22"/>
              </w:rPr>
              <w:t>Designated</w:t>
            </w:r>
          </w:p>
        </w:tc>
        <w:tc>
          <w:tcPr>
            <w:tcW w:w="1560" w:type="dxa"/>
            <w:tcBorders>
              <w:top w:val="single" w:sz="12" w:space="0" w:color="000000"/>
              <w:left w:val="single" w:sz="12" w:space="0" w:color="000000"/>
              <w:bottom w:val="single" w:sz="12" w:space="0" w:color="000000"/>
              <w:right w:val="single" w:sz="12" w:space="0" w:color="000000"/>
            </w:tcBorders>
            <w:tcMar>
              <w:left w:w="115" w:type="dxa"/>
              <w:right w:w="115" w:type="dxa"/>
            </w:tcMar>
          </w:tcPr>
          <w:p w14:paraId="49B545E6" w14:textId="77777777" w:rsidR="00153D22" w:rsidRDefault="00D24B9A">
            <w:pPr>
              <w:spacing w:after="160" w:line="257" w:lineRule="auto"/>
              <w:jc w:val="both"/>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4A47713B" w14:textId="77777777" w:rsidR="00153D22" w:rsidRDefault="00D24B9A">
            <w:pPr>
              <w:spacing w:after="160" w:line="257" w:lineRule="auto"/>
              <w:jc w:val="both"/>
            </w:pPr>
            <w:r>
              <w:rPr>
                <w:rFonts w:ascii="Arial" w:eastAsia="Arial" w:hAnsi="Arial" w:cs="Arial"/>
                <w:color w:val="000000"/>
                <w:sz w:val="22"/>
                <w:szCs w:val="22"/>
              </w:rPr>
              <w:t>£1,430.44</w:t>
            </w:r>
          </w:p>
        </w:tc>
      </w:tr>
      <w:tr w:rsidR="00153D22" w14:paraId="2B37EA1E"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8564588" w14:textId="77777777" w:rsidR="00153D22" w:rsidRDefault="00D24B9A">
            <w:pPr>
              <w:spacing w:after="160" w:line="257" w:lineRule="auto"/>
              <w:jc w:val="both"/>
            </w:pPr>
            <w:r>
              <w:rPr>
                <w:rFonts w:ascii="Arial" w:eastAsia="Arial" w:hAnsi="Arial" w:cs="Arial"/>
                <w:b/>
                <w:color w:val="000000"/>
                <w:sz w:val="22"/>
                <w:szCs w:val="22"/>
              </w:rPr>
              <w:t>YOUX</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0B617B8" w14:textId="77777777" w:rsidR="00153D22" w:rsidRDefault="00D24B9A">
            <w:pPr>
              <w:spacing w:after="160" w:line="257" w:lineRule="auto"/>
              <w:jc w:val="both"/>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14B8D938" w14:textId="77777777" w:rsidR="00153D22" w:rsidRDefault="00D24B9A">
            <w:pPr>
              <w:spacing w:after="160" w:line="257" w:lineRule="auto"/>
              <w:jc w:val="both"/>
            </w:pPr>
            <w:r>
              <w:rPr>
                <w:rFonts w:ascii="Arial" w:eastAsia="Arial" w:hAnsi="Arial" w:cs="Arial"/>
                <w:color w:val="000000"/>
                <w:sz w:val="22"/>
                <w:szCs w:val="22"/>
              </w:rPr>
              <w:t>Youth Representation Order (Undesignated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1271F810" w14:textId="77777777" w:rsidR="00153D22" w:rsidRDefault="00D24B9A">
            <w:pPr>
              <w:spacing w:after="160" w:line="257" w:lineRule="auto"/>
              <w:jc w:val="both"/>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9463290" w14:textId="77777777" w:rsidR="00153D22" w:rsidRDefault="00D24B9A">
            <w:pPr>
              <w:spacing w:after="160" w:line="257" w:lineRule="auto"/>
              <w:jc w:val="both"/>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550E935B" w14:textId="77777777" w:rsidR="00153D22" w:rsidRDefault="00D24B9A">
            <w:pPr>
              <w:spacing w:after="160" w:line="257" w:lineRule="auto"/>
            </w:pPr>
            <w:r>
              <w:rPr>
                <w:rFonts w:ascii="Arial" w:eastAsia="Arial" w:hAnsi="Arial" w:cs="Arial"/>
                <w:color w:val="000000"/>
                <w:sz w:val="22"/>
                <w:szCs w:val="22"/>
              </w:rPr>
              <w:t>£182.01</w:t>
            </w:r>
          </w:p>
        </w:tc>
      </w:tr>
      <w:tr w:rsidR="00153D22" w14:paraId="43EEE9E4"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1B1D557F" w14:textId="77777777" w:rsidR="00153D22" w:rsidRDefault="00D24B9A">
            <w:pPr>
              <w:spacing w:after="160" w:line="257" w:lineRule="auto"/>
              <w:jc w:val="both"/>
              <w:rPr>
                <w:rFonts w:ascii="Arial" w:eastAsia="Arial" w:hAnsi="Arial" w:cs="Arial"/>
                <w:b/>
                <w:color w:val="000000"/>
                <w:sz w:val="22"/>
                <w:szCs w:val="22"/>
              </w:rPr>
            </w:pPr>
            <w:r>
              <w:rPr>
                <w:rFonts w:ascii="Arial" w:eastAsia="Arial" w:hAnsi="Arial" w:cs="Arial"/>
                <w:b/>
                <w:color w:val="000000"/>
                <w:sz w:val="22"/>
                <w:szCs w:val="22"/>
              </w:rPr>
              <w:t>YOUX</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4F659F62"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08A05FED"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Youth Representation Order (Undesignated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0B8CBB1A"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30F28A2C"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Lower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63AB7686" w14:textId="77777777" w:rsidR="00153D22" w:rsidRDefault="00D24B9A">
            <w:pPr>
              <w:spacing w:after="160" w:line="257" w:lineRule="auto"/>
              <w:rPr>
                <w:rFonts w:ascii="Arial" w:eastAsia="Arial" w:hAnsi="Arial" w:cs="Arial"/>
                <w:color w:val="000000"/>
                <w:sz w:val="22"/>
                <w:szCs w:val="22"/>
              </w:rPr>
            </w:pPr>
            <w:r>
              <w:rPr>
                <w:rFonts w:ascii="Arial" w:eastAsia="Arial" w:hAnsi="Arial" w:cs="Arial"/>
                <w:color w:val="000000"/>
                <w:sz w:val="22"/>
                <w:szCs w:val="22"/>
              </w:rPr>
              <w:t>£</w:t>
            </w:r>
            <w:r>
              <w:t>822.47</w:t>
            </w:r>
          </w:p>
        </w:tc>
      </w:tr>
      <w:tr w:rsidR="00153D22" w14:paraId="1D24C92D"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3F8FA94B" w14:textId="77777777" w:rsidR="00153D22" w:rsidRDefault="00D24B9A">
            <w:pPr>
              <w:spacing w:after="160" w:line="257" w:lineRule="auto"/>
              <w:jc w:val="both"/>
              <w:rPr>
                <w:rFonts w:ascii="Arial" w:eastAsia="Arial" w:hAnsi="Arial" w:cs="Arial"/>
                <w:b/>
                <w:color w:val="000000"/>
                <w:sz w:val="22"/>
                <w:szCs w:val="22"/>
              </w:rPr>
            </w:pPr>
            <w:r>
              <w:rPr>
                <w:rFonts w:ascii="Arial" w:eastAsia="Arial" w:hAnsi="Arial" w:cs="Arial"/>
                <w:b/>
                <w:color w:val="000000"/>
                <w:sz w:val="22"/>
                <w:szCs w:val="22"/>
              </w:rPr>
              <w:t>YOUX</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55E7772"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 xml:space="preserve">CAT 1B  </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1418F1AF"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Youth Representation Order (Undesignated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1BFC92EE"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439D6B75"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9304DC9" w14:textId="77777777" w:rsidR="00153D22" w:rsidRDefault="00D24B9A">
            <w:pPr>
              <w:spacing w:after="160" w:line="257" w:lineRule="auto"/>
              <w:rPr>
                <w:rFonts w:ascii="Arial" w:eastAsia="Arial" w:hAnsi="Arial" w:cs="Arial"/>
                <w:color w:val="000000"/>
                <w:sz w:val="22"/>
                <w:szCs w:val="22"/>
              </w:rPr>
            </w:pPr>
            <w:r>
              <w:rPr>
                <w:rFonts w:ascii="Arial" w:eastAsia="Arial" w:hAnsi="Arial" w:cs="Arial"/>
                <w:color w:val="000000"/>
                <w:sz w:val="22"/>
                <w:szCs w:val="22"/>
              </w:rPr>
              <w:t>£437.81</w:t>
            </w:r>
          </w:p>
        </w:tc>
      </w:tr>
      <w:tr w:rsidR="00153D22" w14:paraId="185B3637"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27467CD2" w14:textId="77777777" w:rsidR="00153D22" w:rsidRDefault="00D24B9A">
            <w:pPr>
              <w:spacing w:after="160" w:line="257" w:lineRule="auto"/>
              <w:jc w:val="both"/>
              <w:rPr>
                <w:rFonts w:ascii="Arial" w:eastAsia="Arial" w:hAnsi="Arial" w:cs="Arial"/>
                <w:b/>
                <w:color w:val="000000"/>
                <w:sz w:val="22"/>
                <w:szCs w:val="22"/>
              </w:rPr>
            </w:pPr>
            <w:r>
              <w:rPr>
                <w:rFonts w:ascii="Arial" w:eastAsia="Arial" w:hAnsi="Arial" w:cs="Arial"/>
                <w:b/>
                <w:color w:val="000000"/>
                <w:sz w:val="22"/>
                <w:szCs w:val="22"/>
              </w:rPr>
              <w:t>YOUX</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562F43FA"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 xml:space="preserve">CAT 1A </w:t>
            </w:r>
          </w:p>
        </w:tc>
        <w:tc>
          <w:tcPr>
            <w:tcW w:w="3044"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6E4FB6CB"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Youth Representation Order (Undesignated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032475F2"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Undesignated</w:t>
            </w: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28CD837B"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6F39D2DC" w14:textId="77777777" w:rsidR="00153D22" w:rsidRDefault="00D24B9A">
            <w:pPr>
              <w:spacing w:after="160" w:line="257" w:lineRule="auto"/>
              <w:rPr>
                <w:rFonts w:ascii="Arial" w:eastAsia="Arial" w:hAnsi="Arial" w:cs="Arial"/>
                <w:color w:val="000000"/>
                <w:sz w:val="22"/>
                <w:szCs w:val="22"/>
              </w:rPr>
            </w:pPr>
            <w:r>
              <w:rPr>
                <w:rFonts w:ascii="Arial" w:eastAsia="Arial" w:hAnsi="Arial" w:cs="Arial"/>
                <w:color w:val="000000"/>
                <w:sz w:val="22"/>
                <w:szCs w:val="22"/>
              </w:rPr>
              <w:t>£1,072.74</w:t>
            </w:r>
          </w:p>
        </w:tc>
      </w:tr>
      <w:tr w:rsidR="00153D22" w14:paraId="1C3A4EC7"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7E3B8BDB" w14:textId="77777777" w:rsidR="00153D22" w:rsidRDefault="00D24B9A">
            <w:pPr>
              <w:spacing w:after="160" w:line="257" w:lineRule="auto"/>
              <w:jc w:val="both"/>
              <w:rPr>
                <w:rFonts w:ascii="Arial" w:eastAsia="Arial" w:hAnsi="Arial" w:cs="Arial"/>
                <w:b/>
                <w:color w:val="000000"/>
                <w:sz w:val="22"/>
                <w:szCs w:val="22"/>
              </w:rPr>
            </w:pPr>
            <w:r>
              <w:rPr>
                <w:rFonts w:ascii="Arial" w:eastAsia="Arial" w:hAnsi="Arial" w:cs="Arial"/>
                <w:b/>
                <w:color w:val="000000"/>
                <w:sz w:val="22"/>
                <w:szCs w:val="22"/>
              </w:rPr>
              <w:t>YOUY</w:t>
            </w: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4D715362"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CAT 1B</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F98B623" w14:textId="77777777" w:rsidR="00153D22" w:rsidRDefault="00D24B9A">
            <w:pPr>
              <w:spacing w:after="160" w:line="257" w:lineRule="auto"/>
              <w:jc w:val="both"/>
            </w:pPr>
            <w:r>
              <w:rPr>
                <w:rFonts w:ascii="Arial" w:eastAsia="Arial" w:hAnsi="Arial" w:cs="Arial"/>
                <w:color w:val="000000"/>
                <w:sz w:val="22"/>
                <w:szCs w:val="22"/>
              </w:rPr>
              <w:t>Youth Representation Order (Designated Area) – Second claim for deferred sentence</w:t>
            </w:r>
          </w:p>
          <w:p w14:paraId="709026E4" w14:textId="77777777" w:rsidR="00153D22" w:rsidRDefault="00153D22">
            <w:pPr>
              <w:spacing w:after="160" w:line="257" w:lineRule="auto"/>
              <w:jc w:val="both"/>
              <w:rPr>
                <w:rFonts w:ascii="Arial" w:eastAsia="Arial" w:hAnsi="Arial" w:cs="Arial"/>
                <w:color w:val="000000"/>
                <w:sz w:val="22"/>
                <w:szCs w:val="22"/>
              </w:rPr>
            </w:pP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6530F249" w14:textId="77777777" w:rsidR="00153D22" w:rsidRDefault="00D24B9A">
            <w:pPr>
              <w:spacing w:after="160" w:line="257" w:lineRule="auto"/>
              <w:jc w:val="both"/>
            </w:pPr>
            <w:r>
              <w:rPr>
                <w:rFonts w:ascii="Arial" w:eastAsia="Arial" w:hAnsi="Arial" w:cs="Arial"/>
                <w:color w:val="000000"/>
                <w:sz w:val="22"/>
                <w:szCs w:val="22"/>
              </w:rPr>
              <w:lastRenderedPageBreak/>
              <w:t>Designated</w:t>
            </w:r>
          </w:p>
          <w:p w14:paraId="21CBC54B" w14:textId="77777777" w:rsidR="00153D22" w:rsidRDefault="00153D22">
            <w:pPr>
              <w:spacing w:after="160" w:line="257" w:lineRule="auto"/>
              <w:jc w:val="both"/>
              <w:rPr>
                <w:rFonts w:ascii="Arial" w:eastAsia="Arial" w:hAnsi="Arial" w:cs="Arial"/>
                <w:color w:val="000000"/>
                <w:sz w:val="22"/>
                <w:szCs w:val="22"/>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215CA1DE" w14:textId="77777777" w:rsidR="00153D22" w:rsidRDefault="00D24B9A">
            <w:pPr>
              <w:spacing w:after="160" w:line="257" w:lineRule="auto"/>
              <w:jc w:val="both"/>
            </w:pPr>
            <w:r>
              <w:rPr>
                <w:rFonts w:ascii="Arial" w:eastAsia="Arial" w:hAnsi="Arial" w:cs="Arial"/>
                <w:color w:val="000000"/>
                <w:sz w:val="22"/>
                <w:szCs w:val="22"/>
              </w:rPr>
              <w:t>Lower standard fee</w:t>
            </w:r>
          </w:p>
          <w:p w14:paraId="79BA9065" w14:textId="77777777" w:rsidR="00153D22" w:rsidRDefault="00153D22">
            <w:pPr>
              <w:spacing w:after="160" w:line="257" w:lineRule="auto"/>
              <w:jc w:val="both"/>
              <w:rPr>
                <w:rFonts w:ascii="Arial" w:eastAsia="Arial" w:hAnsi="Arial" w:cs="Arial"/>
                <w:color w:val="000000"/>
                <w:sz w:val="22"/>
                <w:szCs w:val="22"/>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05426F3A" w14:textId="77777777" w:rsidR="00153D22" w:rsidRDefault="00D24B9A">
            <w:pPr>
              <w:spacing w:after="160" w:line="257" w:lineRule="auto"/>
            </w:pPr>
            <w:r>
              <w:rPr>
                <w:rFonts w:ascii="Arial" w:eastAsia="Arial" w:hAnsi="Arial" w:cs="Arial"/>
                <w:color w:val="000000"/>
                <w:sz w:val="22"/>
                <w:szCs w:val="22"/>
              </w:rPr>
              <w:t>£232.53</w:t>
            </w:r>
          </w:p>
          <w:p w14:paraId="60B1B359" w14:textId="77777777" w:rsidR="00153D22" w:rsidRDefault="00153D22">
            <w:pPr>
              <w:spacing w:after="160" w:line="257" w:lineRule="auto"/>
              <w:rPr>
                <w:rFonts w:ascii="Arial" w:eastAsia="Arial" w:hAnsi="Arial" w:cs="Arial"/>
                <w:color w:val="000000"/>
                <w:sz w:val="22"/>
                <w:szCs w:val="22"/>
              </w:rPr>
            </w:pPr>
          </w:p>
        </w:tc>
      </w:tr>
      <w:tr w:rsidR="00153D22" w14:paraId="48CFF8DF"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03ECDBEC" w14:textId="77777777" w:rsidR="00153D22" w:rsidRDefault="00D24B9A">
            <w:pPr>
              <w:spacing w:after="160" w:line="257" w:lineRule="auto"/>
              <w:jc w:val="both"/>
            </w:pPr>
            <w:r>
              <w:rPr>
                <w:rFonts w:ascii="Arial" w:eastAsia="Arial" w:hAnsi="Arial" w:cs="Arial"/>
                <w:b/>
                <w:color w:val="000000"/>
                <w:sz w:val="22"/>
                <w:szCs w:val="22"/>
              </w:rPr>
              <w:t>YOUY</w:t>
            </w:r>
          </w:p>
          <w:p w14:paraId="30BDA5FB" w14:textId="77777777" w:rsidR="00153D22" w:rsidRDefault="00153D22">
            <w:pPr>
              <w:spacing w:after="160" w:line="257" w:lineRule="auto"/>
              <w:jc w:val="both"/>
              <w:rPr>
                <w:rFonts w:ascii="Arial" w:eastAsia="Arial" w:hAnsi="Arial" w:cs="Arial"/>
                <w:b/>
                <w:color w:val="000000"/>
                <w:sz w:val="22"/>
                <w:szCs w:val="22"/>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76955F54"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CAT 1A</w:t>
            </w:r>
          </w:p>
        </w:tc>
        <w:tc>
          <w:tcPr>
            <w:tcW w:w="3044"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5B770EDA" w14:textId="77777777" w:rsidR="00153D22" w:rsidRDefault="00D24B9A">
            <w:pPr>
              <w:spacing w:after="160" w:line="257" w:lineRule="auto"/>
              <w:jc w:val="both"/>
            </w:pPr>
            <w:r>
              <w:rPr>
                <w:rFonts w:ascii="Arial" w:eastAsia="Arial" w:hAnsi="Arial" w:cs="Arial"/>
                <w:color w:val="000000"/>
                <w:sz w:val="22"/>
                <w:szCs w:val="22"/>
              </w:rPr>
              <w:t>Youth Representation Order (Designated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0181AC6C" w14:textId="77777777" w:rsidR="00153D22" w:rsidRDefault="00D24B9A">
            <w:pPr>
              <w:spacing w:after="160" w:line="257" w:lineRule="auto"/>
              <w:jc w:val="both"/>
            </w:pPr>
            <w:r>
              <w:rPr>
                <w:rFonts w:ascii="Arial" w:eastAsia="Arial" w:hAnsi="Arial" w:cs="Arial"/>
                <w:color w:val="000000"/>
                <w:sz w:val="22"/>
                <w:szCs w:val="22"/>
              </w:rPr>
              <w:t>Designated</w:t>
            </w:r>
          </w:p>
          <w:p w14:paraId="66C05BF0" w14:textId="77777777" w:rsidR="00153D22" w:rsidRDefault="00153D22">
            <w:pPr>
              <w:spacing w:after="160" w:line="257" w:lineRule="auto"/>
              <w:jc w:val="both"/>
              <w:rPr>
                <w:rFonts w:ascii="Arial" w:eastAsia="Arial" w:hAnsi="Arial" w:cs="Arial"/>
                <w:color w:val="000000"/>
                <w:sz w:val="22"/>
                <w:szCs w:val="22"/>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7C93E292" w14:textId="77777777" w:rsidR="00153D22" w:rsidRDefault="00D24B9A">
            <w:pPr>
              <w:spacing w:after="160" w:line="257" w:lineRule="auto"/>
              <w:jc w:val="both"/>
            </w:pPr>
            <w:r>
              <w:rPr>
                <w:rFonts w:ascii="Arial" w:eastAsia="Arial" w:hAnsi="Arial" w:cs="Arial"/>
                <w:color w:val="000000"/>
                <w:sz w:val="22"/>
                <w:szCs w:val="22"/>
              </w:rPr>
              <w:t>Lower standard fee</w:t>
            </w:r>
          </w:p>
          <w:p w14:paraId="50680548" w14:textId="77777777" w:rsidR="00153D22" w:rsidRDefault="00153D22">
            <w:pPr>
              <w:spacing w:after="160" w:line="257" w:lineRule="auto"/>
              <w:jc w:val="both"/>
              <w:rPr>
                <w:rFonts w:ascii="Arial" w:eastAsia="Arial" w:hAnsi="Arial" w:cs="Arial"/>
                <w:color w:val="000000"/>
                <w:sz w:val="22"/>
                <w:szCs w:val="22"/>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419F79F1" w14:textId="77777777" w:rsidR="00153D22" w:rsidRDefault="00D24B9A">
            <w:pPr>
              <w:spacing w:after="160" w:line="257" w:lineRule="auto"/>
            </w:pPr>
            <w:r>
              <w:rPr>
                <w:rFonts w:ascii="Arial" w:eastAsia="Arial" w:hAnsi="Arial" w:cs="Arial"/>
                <w:color w:val="000000"/>
                <w:sz w:val="22"/>
                <w:szCs w:val="22"/>
              </w:rPr>
              <w:t>£884.61</w:t>
            </w:r>
          </w:p>
          <w:p w14:paraId="1E15E3C7" w14:textId="77777777" w:rsidR="00153D22" w:rsidRDefault="00153D22">
            <w:pPr>
              <w:spacing w:after="160" w:line="257" w:lineRule="auto"/>
              <w:rPr>
                <w:rFonts w:ascii="Arial" w:eastAsia="Arial" w:hAnsi="Arial" w:cs="Arial"/>
                <w:color w:val="000000"/>
                <w:sz w:val="22"/>
                <w:szCs w:val="22"/>
              </w:rPr>
            </w:pPr>
          </w:p>
        </w:tc>
      </w:tr>
      <w:tr w:rsidR="00153D22" w14:paraId="6FD60C1F"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6D8B69F6" w14:textId="77777777" w:rsidR="00153D22" w:rsidRDefault="00D24B9A">
            <w:pPr>
              <w:spacing w:after="160" w:line="257" w:lineRule="auto"/>
              <w:jc w:val="both"/>
            </w:pPr>
            <w:r>
              <w:rPr>
                <w:rFonts w:ascii="Arial" w:eastAsia="Arial" w:hAnsi="Arial" w:cs="Arial"/>
                <w:b/>
                <w:color w:val="000000"/>
                <w:sz w:val="22"/>
                <w:szCs w:val="22"/>
              </w:rPr>
              <w:t>YOUY</w:t>
            </w:r>
          </w:p>
          <w:p w14:paraId="186CF23D" w14:textId="77777777" w:rsidR="00153D22" w:rsidRDefault="00153D22">
            <w:pPr>
              <w:spacing w:after="160" w:line="257" w:lineRule="auto"/>
              <w:jc w:val="both"/>
              <w:rPr>
                <w:rFonts w:ascii="Arial" w:eastAsia="Arial" w:hAnsi="Arial" w:cs="Arial"/>
                <w:b/>
                <w:color w:val="000000"/>
                <w:sz w:val="22"/>
                <w:szCs w:val="22"/>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2695C8FB"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CAT 1B</w:t>
            </w:r>
          </w:p>
        </w:tc>
        <w:tc>
          <w:tcPr>
            <w:tcW w:w="3044"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5B4C0F36" w14:textId="77777777" w:rsidR="00153D22" w:rsidRDefault="00D24B9A">
            <w:pPr>
              <w:spacing w:after="160" w:line="257" w:lineRule="auto"/>
              <w:jc w:val="both"/>
            </w:pPr>
            <w:r>
              <w:rPr>
                <w:rFonts w:ascii="Arial" w:eastAsia="Arial" w:hAnsi="Arial" w:cs="Arial"/>
                <w:color w:val="000000"/>
                <w:sz w:val="22"/>
                <w:szCs w:val="22"/>
              </w:rPr>
              <w:t>Youth Representation Order (Designated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vAlign w:val="center"/>
          </w:tcPr>
          <w:p w14:paraId="0FF07624" w14:textId="77777777" w:rsidR="00153D22" w:rsidRDefault="00D24B9A">
            <w:pPr>
              <w:spacing w:after="160" w:line="257" w:lineRule="auto"/>
              <w:jc w:val="both"/>
            </w:pPr>
            <w:r>
              <w:rPr>
                <w:rFonts w:ascii="Arial" w:eastAsia="Arial" w:hAnsi="Arial" w:cs="Arial"/>
                <w:color w:val="000000"/>
                <w:sz w:val="22"/>
                <w:szCs w:val="22"/>
              </w:rPr>
              <w:t>Designated</w:t>
            </w:r>
          </w:p>
          <w:p w14:paraId="16F10FA8" w14:textId="77777777" w:rsidR="00153D22" w:rsidRDefault="00153D22">
            <w:pPr>
              <w:spacing w:after="160" w:line="257" w:lineRule="auto"/>
              <w:jc w:val="both"/>
              <w:rPr>
                <w:rFonts w:ascii="Arial" w:eastAsia="Arial" w:hAnsi="Arial" w:cs="Arial"/>
                <w:color w:val="000000"/>
                <w:sz w:val="22"/>
                <w:szCs w:val="22"/>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8F26BEF" w14:textId="77777777" w:rsidR="00153D22" w:rsidRDefault="00D24B9A">
            <w:pPr>
              <w:spacing w:after="160" w:line="257" w:lineRule="auto"/>
              <w:jc w:val="both"/>
            </w:pPr>
            <w:r>
              <w:rPr>
                <w:rFonts w:ascii="Arial" w:eastAsia="Arial" w:hAnsi="Arial" w:cs="Arial"/>
                <w:color w:val="000000"/>
                <w:sz w:val="22"/>
                <w:szCs w:val="22"/>
              </w:rPr>
              <w:t>Higher standard fee</w:t>
            </w:r>
          </w:p>
          <w:p w14:paraId="472389BD" w14:textId="77777777" w:rsidR="00153D22" w:rsidRDefault="00153D22">
            <w:pPr>
              <w:spacing w:after="160" w:line="257" w:lineRule="auto"/>
              <w:jc w:val="both"/>
              <w:rPr>
                <w:rFonts w:ascii="Arial" w:eastAsia="Arial" w:hAnsi="Arial" w:cs="Arial"/>
                <w:color w:val="000000"/>
                <w:sz w:val="22"/>
                <w:szCs w:val="22"/>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C000"/>
            <w:tcMar>
              <w:left w:w="115" w:type="dxa"/>
              <w:right w:w="115" w:type="dxa"/>
            </w:tcMar>
          </w:tcPr>
          <w:p w14:paraId="3967F04D" w14:textId="77777777" w:rsidR="00153D22" w:rsidRDefault="00D24B9A">
            <w:pPr>
              <w:spacing w:after="160" w:line="257" w:lineRule="auto"/>
            </w:pPr>
            <w:r>
              <w:rPr>
                <w:rFonts w:ascii="Arial" w:eastAsia="Arial" w:hAnsi="Arial" w:cs="Arial"/>
                <w:color w:val="000000"/>
                <w:sz w:val="22"/>
                <w:szCs w:val="22"/>
              </w:rPr>
              <w:t>£500.99</w:t>
            </w:r>
          </w:p>
          <w:p w14:paraId="637A8F3D" w14:textId="77777777" w:rsidR="00153D22" w:rsidRDefault="00153D22">
            <w:pPr>
              <w:spacing w:after="160" w:line="257" w:lineRule="auto"/>
              <w:rPr>
                <w:rFonts w:ascii="Arial" w:eastAsia="Arial" w:hAnsi="Arial" w:cs="Arial"/>
                <w:color w:val="000000"/>
                <w:sz w:val="22"/>
                <w:szCs w:val="22"/>
              </w:rPr>
            </w:pPr>
          </w:p>
        </w:tc>
      </w:tr>
      <w:tr w:rsidR="00153D22" w14:paraId="5A8238E3" w14:textId="77777777">
        <w:trPr>
          <w:trHeight w:val="315"/>
        </w:trPr>
        <w:tc>
          <w:tcPr>
            <w:tcW w:w="1418"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019BEFDC" w14:textId="77777777" w:rsidR="00153D22" w:rsidRDefault="00D24B9A">
            <w:pPr>
              <w:spacing w:after="160" w:line="257" w:lineRule="auto"/>
              <w:jc w:val="both"/>
            </w:pPr>
            <w:r>
              <w:rPr>
                <w:rFonts w:ascii="Arial" w:eastAsia="Arial" w:hAnsi="Arial" w:cs="Arial"/>
                <w:b/>
                <w:color w:val="000000"/>
                <w:sz w:val="22"/>
                <w:szCs w:val="22"/>
              </w:rPr>
              <w:t>YOUY</w:t>
            </w:r>
          </w:p>
          <w:p w14:paraId="564D824B" w14:textId="77777777" w:rsidR="00153D22" w:rsidRDefault="00153D22">
            <w:pPr>
              <w:spacing w:after="160" w:line="257" w:lineRule="auto"/>
              <w:jc w:val="both"/>
              <w:rPr>
                <w:rFonts w:ascii="Arial" w:eastAsia="Arial" w:hAnsi="Arial" w:cs="Arial"/>
                <w:b/>
                <w:color w:val="000000"/>
                <w:sz w:val="22"/>
                <w:szCs w:val="22"/>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768C5A00" w14:textId="77777777" w:rsidR="00153D22" w:rsidRDefault="00D24B9A">
            <w:pPr>
              <w:spacing w:after="160" w:line="257" w:lineRule="auto"/>
              <w:jc w:val="both"/>
            </w:pPr>
            <w:r>
              <w:rPr>
                <w:rFonts w:ascii="Arial" w:eastAsia="Arial" w:hAnsi="Arial" w:cs="Arial"/>
                <w:color w:val="000000"/>
                <w:sz w:val="22"/>
                <w:szCs w:val="22"/>
              </w:rPr>
              <w:t>CAT 1A</w:t>
            </w:r>
          </w:p>
          <w:p w14:paraId="0165A6BE" w14:textId="77777777" w:rsidR="00153D22" w:rsidRDefault="00153D22">
            <w:pPr>
              <w:spacing w:after="160" w:line="257" w:lineRule="auto"/>
              <w:jc w:val="both"/>
              <w:rPr>
                <w:rFonts w:ascii="Arial" w:eastAsia="Arial" w:hAnsi="Arial" w:cs="Arial"/>
                <w:color w:val="000000"/>
                <w:sz w:val="22"/>
                <w:szCs w:val="22"/>
              </w:rPr>
            </w:pPr>
          </w:p>
        </w:tc>
        <w:tc>
          <w:tcPr>
            <w:tcW w:w="3044"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33BA7A80" w14:textId="77777777" w:rsidR="00153D22" w:rsidRDefault="00D24B9A">
            <w:pPr>
              <w:spacing w:after="160" w:line="257" w:lineRule="auto"/>
              <w:jc w:val="both"/>
            </w:pPr>
            <w:r>
              <w:rPr>
                <w:rFonts w:ascii="Arial" w:eastAsia="Arial" w:hAnsi="Arial" w:cs="Arial"/>
                <w:color w:val="000000"/>
                <w:sz w:val="22"/>
                <w:szCs w:val="22"/>
              </w:rPr>
              <w:t>Youth Representation Order (Designated Area) – Second claim for deferred sentence</w:t>
            </w:r>
          </w:p>
        </w:tc>
        <w:tc>
          <w:tcPr>
            <w:tcW w:w="1633"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vAlign w:val="center"/>
          </w:tcPr>
          <w:p w14:paraId="13FA522D" w14:textId="77777777" w:rsidR="00153D22" w:rsidRDefault="00D24B9A">
            <w:pPr>
              <w:spacing w:after="160" w:line="257" w:lineRule="auto"/>
              <w:jc w:val="both"/>
            </w:pPr>
            <w:r>
              <w:rPr>
                <w:rFonts w:ascii="Arial" w:eastAsia="Arial" w:hAnsi="Arial" w:cs="Arial"/>
                <w:color w:val="000000"/>
                <w:sz w:val="22"/>
                <w:szCs w:val="22"/>
              </w:rPr>
              <w:t>Designated</w:t>
            </w:r>
          </w:p>
          <w:p w14:paraId="052F46E1" w14:textId="77777777" w:rsidR="00153D22" w:rsidRDefault="00153D22">
            <w:pPr>
              <w:spacing w:after="160" w:line="257" w:lineRule="auto"/>
              <w:jc w:val="both"/>
              <w:rPr>
                <w:rFonts w:ascii="Arial" w:eastAsia="Arial" w:hAnsi="Arial" w:cs="Arial"/>
                <w:color w:val="000000"/>
                <w:sz w:val="22"/>
                <w:szCs w:val="22"/>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01BEDC41" w14:textId="77777777" w:rsidR="00153D22" w:rsidRDefault="00D24B9A">
            <w:pPr>
              <w:spacing w:after="160" w:line="257" w:lineRule="auto"/>
              <w:jc w:val="both"/>
              <w:rPr>
                <w:rFonts w:ascii="Arial" w:eastAsia="Arial" w:hAnsi="Arial" w:cs="Arial"/>
                <w:color w:val="000000"/>
                <w:sz w:val="22"/>
                <w:szCs w:val="22"/>
              </w:rPr>
            </w:pPr>
            <w:r>
              <w:rPr>
                <w:rFonts w:ascii="Arial" w:eastAsia="Arial" w:hAnsi="Arial" w:cs="Arial"/>
                <w:color w:val="000000"/>
                <w:sz w:val="22"/>
                <w:szCs w:val="22"/>
              </w:rPr>
              <w:t>Higher standard fee</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15" w:type="dxa"/>
              <w:right w:w="115" w:type="dxa"/>
            </w:tcMar>
          </w:tcPr>
          <w:p w14:paraId="12144F6B" w14:textId="77777777" w:rsidR="00153D22" w:rsidRDefault="00D24B9A">
            <w:pPr>
              <w:spacing w:after="160" w:line="257" w:lineRule="auto"/>
            </w:pPr>
            <w:r>
              <w:rPr>
                <w:rFonts w:ascii="Arial" w:eastAsia="Arial" w:hAnsi="Arial" w:cs="Arial"/>
                <w:color w:val="000000"/>
                <w:sz w:val="22"/>
                <w:szCs w:val="22"/>
              </w:rPr>
              <w:t>£1,141.17</w:t>
            </w:r>
          </w:p>
          <w:p w14:paraId="303774A2" w14:textId="77777777" w:rsidR="00153D22" w:rsidRDefault="00153D22">
            <w:pPr>
              <w:spacing w:after="160" w:line="257" w:lineRule="auto"/>
              <w:rPr>
                <w:rFonts w:ascii="Arial" w:eastAsia="Arial" w:hAnsi="Arial" w:cs="Arial"/>
                <w:color w:val="000000"/>
                <w:sz w:val="22"/>
                <w:szCs w:val="22"/>
              </w:rPr>
            </w:pPr>
          </w:p>
        </w:tc>
      </w:tr>
    </w:tbl>
    <w:p w14:paraId="50CD5057" w14:textId="77777777" w:rsidR="00153D22" w:rsidRDefault="00153D22"/>
    <w:p w14:paraId="6F90031A" w14:textId="77777777" w:rsidR="00153D22" w:rsidRDefault="00153D22"/>
    <w:p w14:paraId="02D3F310" w14:textId="77777777" w:rsidR="00153D22" w:rsidRDefault="00153D22"/>
    <w:p w14:paraId="18204E9C" w14:textId="77777777" w:rsidR="00153D22" w:rsidRDefault="00D24B9A">
      <w:pPr>
        <w:rPr>
          <w:b/>
        </w:rPr>
      </w:pPr>
      <w:r>
        <w:rPr>
          <w:b/>
        </w:rPr>
        <w:t>Bulk Upload</w:t>
      </w:r>
    </w:p>
    <w:p w14:paraId="2A746714" w14:textId="43581387" w:rsidR="00153D22" w:rsidRDefault="00D24B9A">
      <w:r>
        <w:t>Within the bulk you will be required to enter the following outcome information into the bulk upload for each of the stage reached codes as detailed below</w:t>
      </w:r>
      <w:r w:rsidR="005971FB">
        <w:t>:</w:t>
      </w:r>
    </w:p>
    <w:p w14:paraId="4EA341C8" w14:textId="77777777" w:rsidR="00153D22" w:rsidRDefault="00153D22"/>
    <w:tbl>
      <w:tblPr>
        <w:tblStyle w:val="a0"/>
        <w:tblW w:w="10450" w:type="dxa"/>
        <w:tblLayout w:type="fixed"/>
        <w:tblLook w:val="0400" w:firstRow="0" w:lastRow="0" w:firstColumn="0" w:lastColumn="0" w:noHBand="0" w:noVBand="1"/>
      </w:tblPr>
      <w:tblGrid>
        <w:gridCol w:w="3457"/>
        <w:gridCol w:w="6993"/>
      </w:tblGrid>
      <w:tr w:rsidR="00153D22" w14:paraId="6C95F1D7" w14:textId="77777777">
        <w:trPr>
          <w:trHeight w:val="315"/>
        </w:trPr>
        <w:tc>
          <w:tcPr>
            <w:tcW w:w="3457" w:type="dxa"/>
            <w:tcBorders>
              <w:top w:val="single" w:sz="6" w:space="0" w:color="CCCCCC"/>
              <w:left w:val="single" w:sz="6" w:space="0" w:color="CCCCCC"/>
              <w:bottom w:val="single" w:sz="6" w:space="0" w:color="CCCCCC"/>
              <w:right w:val="single" w:sz="6" w:space="0" w:color="CCCCCC"/>
            </w:tcBorders>
            <w:shd w:val="clear" w:color="auto" w:fill="A4C2F4"/>
            <w:tcMar>
              <w:top w:w="30" w:type="dxa"/>
              <w:left w:w="45" w:type="dxa"/>
              <w:bottom w:w="30" w:type="dxa"/>
              <w:right w:w="45" w:type="dxa"/>
            </w:tcMar>
            <w:vAlign w:val="bottom"/>
          </w:tcPr>
          <w:p w14:paraId="681F757D" w14:textId="77777777" w:rsidR="00153D22" w:rsidRDefault="00D24B9A">
            <w:pPr>
              <w:rPr>
                <w:rFonts w:ascii="Arial" w:eastAsia="Arial" w:hAnsi="Arial" w:cs="Arial"/>
                <w:b/>
                <w:sz w:val="20"/>
                <w:szCs w:val="20"/>
              </w:rPr>
            </w:pPr>
            <w:r>
              <w:rPr>
                <w:rFonts w:ascii="Arial" w:eastAsia="Arial" w:hAnsi="Arial" w:cs="Arial"/>
                <w:b/>
                <w:sz w:val="20"/>
                <w:szCs w:val="20"/>
              </w:rPr>
              <w:t>Field name</w:t>
            </w:r>
          </w:p>
        </w:tc>
        <w:tc>
          <w:tcPr>
            <w:tcW w:w="6993" w:type="dxa"/>
            <w:tcBorders>
              <w:top w:val="single" w:sz="6" w:space="0" w:color="CCCCCC"/>
              <w:left w:val="single" w:sz="6" w:space="0" w:color="CCCCCC"/>
              <w:bottom w:val="single" w:sz="6" w:space="0" w:color="CCCCCC"/>
              <w:right w:val="single" w:sz="6" w:space="0" w:color="CCCCCC"/>
            </w:tcBorders>
            <w:shd w:val="clear" w:color="auto" w:fill="A4C2F4"/>
            <w:tcMar>
              <w:top w:w="30" w:type="dxa"/>
              <w:left w:w="45" w:type="dxa"/>
              <w:bottom w:w="30" w:type="dxa"/>
              <w:right w:w="45" w:type="dxa"/>
            </w:tcMar>
            <w:vAlign w:val="bottom"/>
          </w:tcPr>
          <w:p w14:paraId="19EB2277" w14:textId="77777777" w:rsidR="00153D22" w:rsidRDefault="00D24B9A">
            <w:pPr>
              <w:rPr>
                <w:rFonts w:ascii="Arial" w:eastAsia="Arial" w:hAnsi="Arial" w:cs="Arial"/>
                <w:b/>
                <w:sz w:val="20"/>
                <w:szCs w:val="20"/>
              </w:rPr>
            </w:pPr>
            <w:r>
              <w:rPr>
                <w:rFonts w:ascii="Arial" w:eastAsia="Arial" w:hAnsi="Arial" w:cs="Arial"/>
                <w:b/>
                <w:sz w:val="20"/>
                <w:szCs w:val="20"/>
              </w:rPr>
              <w:t xml:space="preserve">Values/Validation </w:t>
            </w:r>
          </w:p>
        </w:tc>
      </w:tr>
      <w:tr w:rsidR="00153D22" w14:paraId="7F9E5A17"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F6BB14D" w14:textId="77777777" w:rsidR="00153D22" w:rsidRDefault="00D24B9A">
            <w:pPr>
              <w:rPr>
                <w:rFonts w:ascii="Arial" w:eastAsia="Arial" w:hAnsi="Arial" w:cs="Arial"/>
                <w:sz w:val="20"/>
                <w:szCs w:val="20"/>
              </w:rPr>
            </w:pPr>
            <w:r>
              <w:rPr>
                <w:rFonts w:ascii="Arial" w:eastAsia="Arial" w:hAnsi="Arial" w:cs="Arial"/>
                <w:sz w:val="20"/>
                <w:szCs w:val="20"/>
              </w:rPr>
              <w:t>Stage Reached Code</w:t>
            </w:r>
          </w:p>
        </w:tc>
        <w:tc>
          <w:tcPr>
            <w:tcW w:w="6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17DBBE6" w14:textId="77777777" w:rsidR="00153D22" w:rsidRDefault="00D24B9A">
            <w:pPr>
              <w:rPr>
                <w:rFonts w:ascii="Arial" w:eastAsia="Arial" w:hAnsi="Arial" w:cs="Arial"/>
                <w:sz w:val="20"/>
                <w:szCs w:val="20"/>
              </w:rPr>
            </w:pPr>
            <w:r>
              <w:rPr>
                <w:rFonts w:ascii="Arial" w:eastAsia="Arial" w:hAnsi="Arial" w:cs="Arial"/>
                <w:sz w:val="20"/>
                <w:szCs w:val="20"/>
              </w:rPr>
              <w:t>YOUE, YOUF, YOUK, YOUL, YOUX, YOUY</w:t>
            </w:r>
          </w:p>
        </w:tc>
      </w:tr>
      <w:tr w:rsidR="00153D22" w14:paraId="0DA18EDA"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F32827" w14:textId="77777777" w:rsidR="00153D22" w:rsidRDefault="00D24B9A">
            <w:pPr>
              <w:rPr>
                <w:rFonts w:ascii="Arial" w:eastAsia="Arial" w:hAnsi="Arial" w:cs="Arial"/>
                <w:sz w:val="20"/>
                <w:szCs w:val="20"/>
              </w:rPr>
            </w:pPr>
            <w:r>
              <w:rPr>
                <w:rFonts w:ascii="Arial" w:eastAsia="Arial" w:hAnsi="Arial" w:cs="Arial"/>
                <w:sz w:val="20"/>
                <w:szCs w:val="20"/>
              </w:rPr>
              <w:t>Client Surname</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23584D7E"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2A998479"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9F1FDE4" w14:textId="77777777" w:rsidR="00153D22" w:rsidRDefault="00D24B9A">
            <w:pPr>
              <w:rPr>
                <w:rFonts w:ascii="Arial" w:eastAsia="Arial" w:hAnsi="Arial" w:cs="Arial"/>
                <w:sz w:val="20"/>
                <w:szCs w:val="20"/>
              </w:rPr>
            </w:pPr>
            <w:r>
              <w:rPr>
                <w:rFonts w:ascii="Arial" w:eastAsia="Arial" w:hAnsi="Arial" w:cs="Arial"/>
                <w:sz w:val="20"/>
                <w:szCs w:val="20"/>
              </w:rPr>
              <w:t>Client Initial</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23A5CC40"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0413EDBC"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E7BEBE6" w14:textId="77777777" w:rsidR="00153D22" w:rsidRDefault="00D24B9A">
            <w:pPr>
              <w:rPr>
                <w:rFonts w:ascii="Arial" w:eastAsia="Arial" w:hAnsi="Arial" w:cs="Arial"/>
                <w:sz w:val="20"/>
                <w:szCs w:val="20"/>
              </w:rPr>
            </w:pPr>
            <w:r>
              <w:rPr>
                <w:rFonts w:ascii="Arial" w:eastAsia="Arial" w:hAnsi="Arial" w:cs="Arial"/>
                <w:sz w:val="20"/>
                <w:szCs w:val="20"/>
              </w:rPr>
              <w:t>Gender</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5315BD81"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6E152DBA"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B94000B" w14:textId="77777777" w:rsidR="00153D22" w:rsidRDefault="00D24B9A">
            <w:pPr>
              <w:rPr>
                <w:rFonts w:ascii="Arial" w:eastAsia="Arial" w:hAnsi="Arial" w:cs="Arial"/>
                <w:sz w:val="20"/>
                <w:szCs w:val="20"/>
              </w:rPr>
            </w:pPr>
            <w:r>
              <w:rPr>
                <w:rFonts w:ascii="Arial" w:eastAsia="Arial" w:hAnsi="Arial" w:cs="Arial"/>
                <w:sz w:val="20"/>
                <w:szCs w:val="20"/>
              </w:rPr>
              <w:t>Ethnicity</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47D2690F"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0B60E61C"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882B23" w14:textId="77777777" w:rsidR="00153D22" w:rsidRDefault="00D24B9A">
            <w:pPr>
              <w:rPr>
                <w:rFonts w:ascii="Arial" w:eastAsia="Arial" w:hAnsi="Arial" w:cs="Arial"/>
                <w:sz w:val="20"/>
                <w:szCs w:val="20"/>
              </w:rPr>
            </w:pPr>
            <w:r>
              <w:rPr>
                <w:rFonts w:ascii="Arial" w:eastAsia="Arial" w:hAnsi="Arial" w:cs="Arial"/>
                <w:sz w:val="20"/>
                <w:szCs w:val="20"/>
              </w:rPr>
              <w:t>Disability</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2BEBAD37"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48AB32B5"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F686C75" w14:textId="77777777" w:rsidR="00153D22" w:rsidRDefault="00D24B9A">
            <w:pPr>
              <w:rPr>
                <w:rFonts w:ascii="Arial" w:eastAsia="Arial" w:hAnsi="Arial" w:cs="Arial"/>
                <w:sz w:val="20"/>
                <w:szCs w:val="20"/>
              </w:rPr>
            </w:pPr>
            <w:r>
              <w:rPr>
                <w:rFonts w:ascii="Arial" w:eastAsia="Arial" w:hAnsi="Arial" w:cs="Arial"/>
                <w:sz w:val="20"/>
                <w:szCs w:val="20"/>
              </w:rPr>
              <w:t>Schedule Reference</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04158565"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4077D6BE"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C51A60" w14:textId="77777777" w:rsidR="00153D22" w:rsidRDefault="00D24B9A">
            <w:pPr>
              <w:rPr>
                <w:rFonts w:ascii="Arial" w:eastAsia="Arial" w:hAnsi="Arial" w:cs="Arial"/>
                <w:sz w:val="20"/>
                <w:szCs w:val="20"/>
              </w:rPr>
            </w:pPr>
            <w:r>
              <w:rPr>
                <w:rFonts w:ascii="Arial" w:eastAsia="Arial" w:hAnsi="Arial" w:cs="Arial"/>
                <w:sz w:val="20"/>
                <w:szCs w:val="20"/>
              </w:rPr>
              <w:t>UFN</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2691BFCD"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4DF62E50"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760480" w14:textId="77777777" w:rsidR="00153D22" w:rsidRDefault="00D24B9A">
            <w:pPr>
              <w:rPr>
                <w:rFonts w:ascii="Arial" w:eastAsia="Arial" w:hAnsi="Arial" w:cs="Arial"/>
                <w:sz w:val="20"/>
                <w:szCs w:val="20"/>
              </w:rPr>
            </w:pPr>
            <w:r>
              <w:rPr>
                <w:rFonts w:ascii="Arial" w:eastAsia="Arial" w:hAnsi="Arial" w:cs="Arial"/>
                <w:sz w:val="20"/>
                <w:szCs w:val="20"/>
              </w:rPr>
              <w:t>Representation Order date</w:t>
            </w:r>
          </w:p>
        </w:tc>
        <w:tc>
          <w:tcPr>
            <w:tcW w:w="6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A97754B" w14:textId="77777777" w:rsidR="00153D22" w:rsidRDefault="00D24B9A">
            <w:pPr>
              <w:rPr>
                <w:rFonts w:ascii="Arial" w:eastAsia="Arial" w:hAnsi="Arial" w:cs="Arial"/>
                <w:sz w:val="20"/>
                <w:szCs w:val="20"/>
              </w:rPr>
            </w:pPr>
            <w:r>
              <w:rPr>
                <w:rFonts w:ascii="Arial" w:eastAsia="Arial" w:hAnsi="Arial" w:cs="Arial"/>
                <w:sz w:val="20"/>
                <w:szCs w:val="20"/>
              </w:rPr>
              <w:t>Must be on or after 6 December 2024 if codes YOUE, YOUF, YOUK, YOUL, YOUX, YOUY are used.</w:t>
            </w:r>
          </w:p>
          <w:p w14:paraId="7F7BB36E" w14:textId="77777777" w:rsidR="00153D22" w:rsidRDefault="00153D22">
            <w:pPr>
              <w:rPr>
                <w:rFonts w:ascii="Arial" w:eastAsia="Arial" w:hAnsi="Arial" w:cs="Arial"/>
                <w:sz w:val="20"/>
                <w:szCs w:val="20"/>
              </w:rPr>
            </w:pPr>
          </w:p>
          <w:p w14:paraId="479F8676" w14:textId="77777777" w:rsidR="00153D22" w:rsidRDefault="00D24B9A">
            <w:pPr>
              <w:rPr>
                <w:rFonts w:ascii="Arial" w:eastAsia="Arial" w:hAnsi="Arial" w:cs="Arial"/>
                <w:sz w:val="20"/>
                <w:szCs w:val="20"/>
              </w:rPr>
            </w:pPr>
            <w:r>
              <w:rPr>
                <w:rFonts w:ascii="Arial" w:eastAsia="Arial" w:hAnsi="Arial" w:cs="Arial"/>
                <w:sz w:val="20"/>
                <w:szCs w:val="20"/>
              </w:rPr>
              <w:t>Fee uplifts for INVC, INVD &amp; INVJ codes will come into effect where this date is on or after 6 December 2024.</w:t>
            </w:r>
          </w:p>
        </w:tc>
      </w:tr>
      <w:tr w:rsidR="00153D22" w14:paraId="58859E80"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5B9DE8" w14:textId="77777777" w:rsidR="00153D22" w:rsidRDefault="00D24B9A">
            <w:pPr>
              <w:rPr>
                <w:rFonts w:ascii="Arial" w:eastAsia="Arial" w:hAnsi="Arial" w:cs="Arial"/>
                <w:sz w:val="20"/>
                <w:szCs w:val="20"/>
              </w:rPr>
            </w:pPr>
            <w:r>
              <w:rPr>
                <w:rFonts w:ascii="Arial" w:eastAsia="Arial" w:hAnsi="Arial" w:cs="Arial"/>
                <w:sz w:val="20"/>
                <w:szCs w:val="20"/>
              </w:rPr>
              <w:t>Standard Fee Category</w:t>
            </w:r>
          </w:p>
        </w:tc>
        <w:tc>
          <w:tcPr>
            <w:tcW w:w="6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DC5CE3B" w14:textId="0D641B0E" w:rsidR="00153D22" w:rsidRPr="00752233" w:rsidRDefault="00D24B9A">
            <w:pPr>
              <w:rPr>
                <w:rFonts w:ascii="Arial" w:eastAsia="Arial" w:hAnsi="Arial" w:cs="Arial"/>
                <w:sz w:val="20"/>
                <w:szCs w:val="20"/>
              </w:rPr>
            </w:pPr>
            <w:r>
              <w:rPr>
                <w:rFonts w:ascii="Arial" w:eastAsia="Arial" w:hAnsi="Arial" w:cs="Arial"/>
                <w:sz w:val="20"/>
                <w:szCs w:val="20"/>
              </w:rPr>
              <w:t>Options for YOUE, YOUF, YOUK, YOUL are:</w:t>
            </w:r>
            <w:r>
              <w:rPr>
                <w:rFonts w:ascii="Arial" w:eastAsia="Arial" w:hAnsi="Arial" w:cs="Arial"/>
                <w:sz w:val="20"/>
                <w:szCs w:val="20"/>
              </w:rPr>
              <w:br/>
            </w:r>
            <w:r w:rsidRPr="00752233">
              <w:rPr>
                <w:rFonts w:ascii="Arial" w:eastAsia="Arial" w:hAnsi="Arial" w:cs="Arial"/>
                <w:strike/>
                <w:color w:val="FF0000"/>
                <w:sz w:val="20"/>
                <w:szCs w:val="20"/>
              </w:rPr>
              <w:t>CAT1A</w:t>
            </w:r>
            <w:r w:rsidR="00752233" w:rsidRPr="00752233">
              <w:rPr>
                <w:rFonts w:ascii="Arial" w:eastAsia="Arial" w:hAnsi="Arial" w:cs="Arial"/>
                <w:strike/>
                <w:color w:val="FF0000"/>
                <w:sz w:val="20"/>
                <w:szCs w:val="20"/>
              </w:rPr>
              <w:t xml:space="preserve"> </w:t>
            </w:r>
            <w:r w:rsidR="00752233">
              <w:rPr>
                <w:rFonts w:ascii="Arial" w:eastAsia="Arial" w:hAnsi="Arial" w:cs="Arial"/>
                <w:color w:val="FF0000"/>
                <w:sz w:val="20"/>
                <w:szCs w:val="20"/>
              </w:rPr>
              <w:t xml:space="preserve">  </w:t>
            </w:r>
            <w:r w:rsidR="00752233" w:rsidRPr="00752233">
              <w:rPr>
                <w:rFonts w:ascii="Arial" w:eastAsia="Arial" w:hAnsi="Arial" w:cs="Arial"/>
                <w:color w:val="FF0000"/>
                <w:sz w:val="20"/>
                <w:szCs w:val="20"/>
              </w:rPr>
              <w:t>1A</w:t>
            </w:r>
            <w:r w:rsidRPr="00752233">
              <w:rPr>
                <w:rFonts w:ascii="Arial" w:eastAsia="Arial" w:hAnsi="Arial" w:cs="Arial"/>
                <w:strike/>
                <w:color w:val="FF0000"/>
                <w:sz w:val="20"/>
                <w:szCs w:val="20"/>
              </w:rPr>
              <w:br/>
              <w:t>CAT1B</w:t>
            </w:r>
            <w:r w:rsidR="00752233" w:rsidRPr="00752233">
              <w:rPr>
                <w:rFonts w:ascii="Arial" w:eastAsia="Arial" w:hAnsi="Arial" w:cs="Arial"/>
                <w:strike/>
                <w:color w:val="FF0000"/>
                <w:sz w:val="20"/>
                <w:szCs w:val="20"/>
              </w:rPr>
              <w:t xml:space="preserve"> </w:t>
            </w:r>
            <w:r w:rsidR="00752233">
              <w:rPr>
                <w:rFonts w:ascii="Arial" w:eastAsia="Arial" w:hAnsi="Arial" w:cs="Arial"/>
                <w:color w:val="FF0000"/>
                <w:sz w:val="20"/>
                <w:szCs w:val="20"/>
              </w:rPr>
              <w:t xml:space="preserve">  </w:t>
            </w:r>
            <w:r w:rsidR="00752233" w:rsidRPr="00752233">
              <w:rPr>
                <w:rFonts w:ascii="Arial" w:eastAsia="Arial" w:hAnsi="Arial" w:cs="Arial"/>
                <w:color w:val="FF0000"/>
                <w:sz w:val="20"/>
                <w:szCs w:val="20"/>
              </w:rPr>
              <w:t>1B</w:t>
            </w:r>
            <w:r w:rsidRPr="00752233">
              <w:rPr>
                <w:rFonts w:ascii="Arial" w:eastAsia="Arial" w:hAnsi="Arial" w:cs="Arial"/>
                <w:strike/>
                <w:color w:val="FF0000"/>
                <w:sz w:val="20"/>
                <w:szCs w:val="20"/>
              </w:rPr>
              <w:br/>
              <w:t>CAT2A</w:t>
            </w:r>
            <w:r w:rsidR="00752233" w:rsidRPr="00752233">
              <w:rPr>
                <w:rFonts w:ascii="Arial" w:eastAsia="Arial" w:hAnsi="Arial" w:cs="Arial"/>
                <w:strike/>
                <w:color w:val="FF0000"/>
                <w:sz w:val="20"/>
                <w:szCs w:val="20"/>
              </w:rPr>
              <w:t xml:space="preserve"> </w:t>
            </w:r>
            <w:r w:rsidR="00752233">
              <w:rPr>
                <w:rFonts w:ascii="Arial" w:eastAsia="Arial" w:hAnsi="Arial" w:cs="Arial"/>
                <w:color w:val="FF0000"/>
                <w:sz w:val="20"/>
                <w:szCs w:val="20"/>
              </w:rPr>
              <w:t xml:space="preserve">  </w:t>
            </w:r>
            <w:r w:rsidR="00752233" w:rsidRPr="00752233">
              <w:rPr>
                <w:rFonts w:ascii="Arial" w:eastAsia="Arial" w:hAnsi="Arial" w:cs="Arial"/>
                <w:color w:val="FF0000"/>
                <w:sz w:val="20"/>
                <w:szCs w:val="20"/>
              </w:rPr>
              <w:t>2A</w:t>
            </w:r>
            <w:r w:rsidRPr="00752233">
              <w:rPr>
                <w:rFonts w:ascii="Arial" w:eastAsia="Arial" w:hAnsi="Arial" w:cs="Arial"/>
                <w:strike/>
                <w:color w:val="FF0000"/>
                <w:sz w:val="20"/>
                <w:szCs w:val="20"/>
              </w:rPr>
              <w:br/>
              <w:t>CAT2B</w:t>
            </w:r>
            <w:r w:rsidR="00752233" w:rsidRPr="00752233">
              <w:rPr>
                <w:rFonts w:ascii="Arial" w:eastAsia="Arial" w:hAnsi="Arial" w:cs="Arial"/>
                <w:color w:val="FF0000"/>
                <w:sz w:val="20"/>
                <w:szCs w:val="20"/>
              </w:rPr>
              <w:t xml:space="preserve"> </w:t>
            </w:r>
            <w:r w:rsidR="00752233">
              <w:rPr>
                <w:rFonts w:ascii="Arial" w:eastAsia="Arial" w:hAnsi="Arial" w:cs="Arial"/>
                <w:color w:val="FF0000"/>
                <w:sz w:val="20"/>
                <w:szCs w:val="20"/>
              </w:rPr>
              <w:t xml:space="preserve">  </w:t>
            </w:r>
            <w:r w:rsidR="00752233" w:rsidRPr="00752233">
              <w:rPr>
                <w:rFonts w:ascii="Arial" w:eastAsia="Arial" w:hAnsi="Arial" w:cs="Arial"/>
                <w:color w:val="FF0000"/>
                <w:sz w:val="20"/>
                <w:szCs w:val="20"/>
              </w:rPr>
              <w:t>2B</w:t>
            </w:r>
            <w:r>
              <w:rPr>
                <w:rFonts w:ascii="Arial" w:eastAsia="Arial" w:hAnsi="Arial" w:cs="Arial"/>
                <w:sz w:val="20"/>
                <w:szCs w:val="20"/>
              </w:rPr>
              <w:br/>
            </w:r>
            <w:r>
              <w:rPr>
                <w:rFonts w:ascii="Arial" w:eastAsia="Arial" w:hAnsi="Arial" w:cs="Arial"/>
                <w:sz w:val="20"/>
                <w:szCs w:val="20"/>
              </w:rPr>
              <w:br/>
              <w:t>Options for YOUX, YOUY are:</w:t>
            </w:r>
            <w:r>
              <w:rPr>
                <w:rFonts w:ascii="Arial" w:eastAsia="Arial" w:hAnsi="Arial" w:cs="Arial"/>
                <w:sz w:val="20"/>
                <w:szCs w:val="20"/>
              </w:rPr>
              <w:br/>
            </w:r>
            <w:r w:rsidRPr="00752233">
              <w:rPr>
                <w:rFonts w:ascii="Arial" w:eastAsia="Arial" w:hAnsi="Arial" w:cs="Arial"/>
                <w:strike/>
                <w:color w:val="FF0000"/>
                <w:sz w:val="20"/>
                <w:szCs w:val="20"/>
              </w:rPr>
              <w:t>CAT1A - Lower Standard Fee</w:t>
            </w:r>
            <w:r w:rsidR="00752233">
              <w:rPr>
                <w:rFonts w:ascii="Arial" w:eastAsia="Arial" w:hAnsi="Arial" w:cs="Arial"/>
                <w:color w:val="FF0000"/>
                <w:sz w:val="20"/>
                <w:szCs w:val="20"/>
              </w:rPr>
              <w:t xml:space="preserve">   1A-LSF</w:t>
            </w:r>
            <w:r w:rsidRPr="00752233">
              <w:rPr>
                <w:rFonts w:ascii="Arial" w:eastAsia="Arial" w:hAnsi="Arial" w:cs="Arial"/>
                <w:strike/>
                <w:color w:val="FF0000"/>
                <w:sz w:val="20"/>
                <w:szCs w:val="20"/>
              </w:rPr>
              <w:br/>
              <w:t>CAT1B - Lower Standard Fee</w:t>
            </w:r>
            <w:r w:rsidR="00752233">
              <w:rPr>
                <w:rFonts w:ascii="Arial" w:eastAsia="Arial" w:hAnsi="Arial" w:cs="Arial"/>
                <w:color w:val="FF0000"/>
                <w:sz w:val="20"/>
                <w:szCs w:val="20"/>
              </w:rPr>
              <w:t xml:space="preserve">   1B-LSF</w:t>
            </w:r>
            <w:r w:rsidRPr="00752233">
              <w:rPr>
                <w:rFonts w:ascii="Arial" w:eastAsia="Arial" w:hAnsi="Arial" w:cs="Arial"/>
                <w:strike/>
                <w:color w:val="FF0000"/>
                <w:sz w:val="20"/>
                <w:szCs w:val="20"/>
              </w:rPr>
              <w:br/>
              <w:t>CAT1A - Higher Standard Fee</w:t>
            </w:r>
            <w:r w:rsidR="00752233">
              <w:rPr>
                <w:rFonts w:ascii="Arial" w:eastAsia="Arial" w:hAnsi="Arial" w:cs="Arial"/>
                <w:color w:val="FF0000"/>
                <w:sz w:val="20"/>
                <w:szCs w:val="20"/>
              </w:rPr>
              <w:t xml:space="preserve">  1A-HSF</w:t>
            </w:r>
            <w:r w:rsidRPr="00752233">
              <w:rPr>
                <w:rFonts w:ascii="Arial" w:eastAsia="Arial" w:hAnsi="Arial" w:cs="Arial"/>
                <w:strike/>
                <w:color w:val="FF0000"/>
                <w:sz w:val="20"/>
                <w:szCs w:val="20"/>
              </w:rPr>
              <w:br/>
              <w:t>CAT1B - Higher Standard Fee</w:t>
            </w:r>
            <w:r w:rsidR="00752233">
              <w:rPr>
                <w:rFonts w:ascii="Arial" w:eastAsia="Arial" w:hAnsi="Arial" w:cs="Arial"/>
                <w:color w:val="FF0000"/>
                <w:sz w:val="20"/>
                <w:szCs w:val="20"/>
              </w:rPr>
              <w:t xml:space="preserve">  1B-HSF</w:t>
            </w:r>
          </w:p>
        </w:tc>
      </w:tr>
      <w:tr w:rsidR="00153D22" w14:paraId="31AB10DF"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1E7217" w14:textId="77777777" w:rsidR="00153D22" w:rsidRDefault="00D24B9A">
            <w:pPr>
              <w:rPr>
                <w:rFonts w:ascii="Arial" w:eastAsia="Arial" w:hAnsi="Arial" w:cs="Arial"/>
                <w:sz w:val="20"/>
                <w:szCs w:val="20"/>
              </w:rPr>
            </w:pPr>
            <w:r>
              <w:rPr>
                <w:rFonts w:ascii="Arial" w:eastAsia="Arial" w:hAnsi="Arial" w:cs="Arial"/>
                <w:sz w:val="20"/>
                <w:szCs w:val="20"/>
              </w:rPr>
              <w:t>Matter Type</w:t>
            </w:r>
          </w:p>
        </w:tc>
        <w:tc>
          <w:tcPr>
            <w:tcW w:w="6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00B8AD0" w14:textId="77777777" w:rsidR="00153D22" w:rsidRDefault="00D24B9A">
            <w:pPr>
              <w:rPr>
                <w:rFonts w:ascii="Arial" w:eastAsia="Arial" w:hAnsi="Arial" w:cs="Arial"/>
                <w:sz w:val="20"/>
                <w:szCs w:val="20"/>
              </w:rPr>
            </w:pPr>
            <w:r>
              <w:rPr>
                <w:rFonts w:ascii="Arial" w:eastAsia="Arial" w:hAnsi="Arial" w:cs="Arial"/>
                <w:sz w:val="20"/>
                <w:szCs w:val="20"/>
              </w:rPr>
              <w:t xml:space="preserve">Options for YOUE, YOUF, YOUK, YOUL are: </w:t>
            </w:r>
          </w:p>
          <w:p w14:paraId="15D918B8" w14:textId="77777777" w:rsidR="00153D22" w:rsidRDefault="00D24B9A">
            <w:pPr>
              <w:rPr>
                <w:rFonts w:ascii="Arial" w:eastAsia="Arial" w:hAnsi="Arial" w:cs="Arial"/>
                <w:sz w:val="20"/>
                <w:szCs w:val="20"/>
              </w:rPr>
            </w:pPr>
            <w:r>
              <w:rPr>
                <w:rFonts w:ascii="Arial" w:eastAsia="Arial" w:hAnsi="Arial" w:cs="Arial"/>
                <w:sz w:val="20"/>
                <w:szCs w:val="20"/>
              </w:rPr>
              <w:t>Matter Types 1-16.</w:t>
            </w:r>
          </w:p>
          <w:p w14:paraId="44960570" w14:textId="77777777" w:rsidR="00153D22" w:rsidRDefault="00153D22">
            <w:pPr>
              <w:rPr>
                <w:rFonts w:ascii="Arial" w:eastAsia="Arial" w:hAnsi="Arial" w:cs="Arial"/>
                <w:sz w:val="20"/>
                <w:szCs w:val="20"/>
              </w:rPr>
            </w:pPr>
          </w:p>
          <w:p w14:paraId="4A5B752D" w14:textId="77777777" w:rsidR="00153D22" w:rsidRDefault="00D24B9A">
            <w:pPr>
              <w:rPr>
                <w:rFonts w:ascii="Arial" w:eastAsia="Arial" w:hAnsi="Arial" w:cs="Arial"/>
                <w:sz w:val="20"/>
                <w:szCs w:val="20"/>
              </w:rPr>
            </w:pPr>
            <w:r>
              <w:rPr>
                <w:rFonts w:ascii="Arial" w:eastAsia="Arial" w:hAnsi="Arial" w:cs="Arial"/>
                <w:sz w:val="20"/>
                <w:szCs w:val="20"/>
              </w:rPr>
              <w:t>Field not applicable for YOUX, YOUY</w:t>
            </w:r>
          </w:p>
        </w:tc>
      </w:tr>
      <w:tr w:rsidR="00153D22" w14:paraId="065B82E1"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AB30678" w14:textId="77777777" w:rsidR="00153D22" w:rsidRDefault="00D24B9A">
            <w:pPr>
              <w:rPr>
                <w:rFonts w:ascii="Arial" w:eastAsia="Arial" w:hAnsi="Arial" w:cs="Arial"/>
                <w:sz w:val="20"/>
                <w:szCs w:val="20"/>
              </w:rPr>
            </w:pPr>
            <w:r>
              <w:rPr>
                <w:rFonts w:ascii="Arial" w:eastAsia="Arial" w:hAnsi="Arial" w:cs="Arial"/>
                <w:sz w:val="20"/>
                <w:szCs w:val="20"/>
              </w:rPr>
              <w:t>Outcome Code</w:t>
            </w:r>
          </w:p>
        </w:tc>
        <w:tc>
          <w:tcPr>
            <w:tcW w:w="6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10BD9B3" w14:textId="77777777" w:rsidR="00153D22" w:rsidRDefault="00D24B9A">
            <w:pPr>
              <w:rPr>
                <w:rFonts w:ascii="Arial" w:eastAsia="Arial" w:hAnsi="Arial" w:cs="Arial"/>
                <w:sz w:val="20"/>
                <w:szCs w:val="20"/>
              </w:rPr>
            </w:pPr>
            <w:r>
              <w:rPr>
                <w:rFonts w:ascii="Arial" w:eastAsia="Arial" w:hAnsi="Arial" w:cs="Arial"/>
                <w:sz w:val="20"/>
                <w:szCs w:val="20"/>
              </w:rPr>
              <w:t>Options for YOUE, YOUF, YOUK, YOUL are:</w:t>
            </w:r>
            <w:r>
              <w:rPr>
                <w:rFonts w:ascii="Arial" w:eastAsia="Arial" w:hAnsi="Arial" w:cs="Arial"/>
                <w:sz w:val="20"/>
                <w:szCs w:val="20"/>
              </w:rPr>
              <w:br/>
              <w:t>CP1</w:t>
            </w:r>
          </w:p>
          <w:p w14:paraId="0EAB7309" w14:textId="77777777" w:rsidR="00153D22" w:rsidRDefault="00D24B9A">
            <w:pPr>
              <w:rPr>
                <w:rFonts w:ascii="Arial" w:eastAsia="Arial" w:hAnsi="Arial" w:cs="Arial"/>
                <w:sz w:val="20"/>
                <w:szCs w:val="20"/>
              </w:rPr>
            </w:pPr>
            <w:r>
              <w:rPr>
                <w:rFonts w:ascii="Arial" w:eastAsia="Arial" w:hAnsi="Arial" w:cs="Arial"/>
                <w:sz w:val="20"/>
                <w:szCs w:val="20"/>
              </w:rPr>
              <w:t>CP2</w:t>
            </w:r>
          </w:p>
          <w:p w14:paraId="6268CCED" w14:textId="77777777" w:rsidR="00153D22" w:rsidRDefault="00D24B9A">
            <w:pPr>
              <w:rPr>
                <w:rFonts w:ascii="Arial" w:eastAsia="Arial" w:hAnsi="Arial" w:cs="Arial"/>
                <w:sz w:val="20"/>
                <w:szCs w:val="20"/>
              </w:rPr>
            </w:pPr>
            <w:r>
              <w:rPr>
                <w:rFonts w:ascii="Arial" w:eastAsia="Arial" w:hAnsi="Arial" w:cs="Arial"/>
                <w:sz w:val="20"/>
                <w:szCs w:val="20"/>
              </w:rPr>
              <w:t>CP3</w:t>
            </w:r>
          </w:p>
          <w:p w14:paraId="698A83D3" w14:textId="77777777" w:rsidR="00153D22" w:rsidRDefault="00D24B9A">
            <w:pPr>
              <w:rPr>
                <w:rFonts w:ascii="Arial" w:eastAsia="Arial" w:hAnsi="Arial" w:cs="Arial"/>
                <w:sz w:val="20"/>
                <w:szCs w:val="20"/>
              </w:rPr>
            </w:pPr>
            <w:r>
              <w:rPr>
                <w:rFonts w:ascii="Arial" w:eastAsia="Arial" w:hAnsi="Arial" w:cs="Arial"/>
                <w:sz w:val="20"/>
                <w:szCs w:val="20"/>
              </w:rPr>
              <w:lastRenderedPageBreak/>
              <w:t>CP4</w:t>
            </w:r>
          </w:p>
          <w:p w14:paraId="01F02CCB" w14:textId="77777777" w:rsidR="00153D22" w:rsidRDefault="00D24B9A">
            <w:pPr>
              <w:rPr>
                <w:rFonts w:ascii="Arial" w:eastAsia="Arial" w:hAnsi="Arial" w:cs="Arial"/>
                <w:sz w:val="20"/>
                <w:szCs w:val="20"/>
              </w:rPr>
            </w:pPr>
            <w:r>
              <w:rPr>
                <w:rFonts w:ascii="Arial" w:eastAsia="Arial" w:hAnsi="Arial" w:cs="Arial"/>
                <w:sz w:val="20"/>
                <w:szCs w:val="20"/>
              </w:rPr>
              <w:t>CP5</w:t>
            </w:r>
          </w:p>
          <w:p w14:paraId="75F313E0" w14:textId="77777777" w:rsidR="00153D22" w:rsidRDefault="00D24B9A">
            <w:pPr>
              <w:rPr>
                <w:rFonts w:ascii="Arial" w:eastAsia="Arial" w:hAnsi="Arial" w:cs="Arial"/>
                <w:sz w:val="20"/>
                <w:szCs w:val="20"/>
              </w:rPr>
            </w:pPr>
            <w:r>
              <w:rPr>
                <w:rFonts w:ascii="Arial" w:eastAsia="Arial" w:hAnsi="Arial" w:cs="Arial"/>
                <w:sz w:val="20"/>
                <w:szCs w:val="20"/>
              </w:rPr>
              <w:t>CP6</w:t>
            </w:r>
          </w:p>
          <w:p w14:paraId="094E780F" w14:textId="77777777" w:rsidR="00153D22" w:rsidRDefault="00D24B9A">
            <w:pPr>
              <w:rPr>
                <w:rFonts w:ascii="Arial" w:eastAsia="Arial" w:hAnsi="Arial" w:cs="Arial"/>
                <w:sz w:val="20"/>
                <w:szCs w:val="20"/>
              </w:rPr>
            </w:pPr>
            <w:r>
              <w:rPr>
                <w:rFonts w:ascii="Arial" w:eastAsia="Arial" w:hAnsi="Arial" w:cs="Arial"/>
                <w:sz w:val="20"/>
                <w:szCs w:val="20"/>
              </w:rPr>
              <w:t>CP7</w:t>
            </w:r>
          </w:p>
          <w:p w14:paraId="22608F6C" w14:textId="77777777" w:rsidR="00153D22" w:rsidRDefault="00D24B9A">
            <w:pPr>
              <w:rPr>
                <w:rFonts w:ascii="Arial" w:eastAsia="Arial" w:hAnsi="Arial" w:cs="Arial"/>
                <w:sz w:val="20"/>
                <w:szCs w:val="20"/>
              </w:rPr>
            </w:pPr>
            <w:r>
              <w:rPr>
                <w:rFonts w:ascii="Arial" w:eastAsia="Arial" w:hAnsi="Arial" w:cs="Arial"/>
                <w:sz w:val="20"/>
                <w:szCs w:val="20"/>
              </w:rPr>
              <w:t>CP8</w:t>
            </w:r>
          </w:p>
          <w:p w14:paraId="6D6AF002" w14:textId="77777777" w:rsidR="00153D22" w:rsidRDefault="00D24B9A">
            <w:pPr>
              <w:rPr>
                <w:rFonts w:ascii="Arial" w:eastAsia="Arial" w:hAnsi="Arial" w:cs="Arial"/>
                <w:sz w:val="20"/>
                <w:szCs w:val="20"/>
              </w:rPr>
            </w:pPr>
            <w:r>
              <w:rPr>
                <w:rFonts w:ascii="Arial" w:eastAsia="Arial" w:hAnsi="Arial" w:cs="Arial"/>
                <w:sz w:val="20"/>
                <w:szCs w:val="20"/>
              </w:rPr>
              <w:t>CP9</w:t>
            </w:r>
          </w:p>
          <w:p w14:paraId="3A866B65" w14:textId="77777777" w:rsidR="00153D22" w:rsidRDefault="00D24B9A">
            <w:pPr>
              <w:rPr>
                <w:rFonts w:ascii="Arial" w:eastAsia="Arial" w:hAnsi="Arial" w:cs="Arial"/>
                <w:sz w:val="20"/>
                <w:szCs w:val="20"/>
              </w:rPr>
            </w:pPr>
            <w:r>
              <w:rPr>
                <w:rFonts w:ascii="Arial" w:eastAsia="Arial" w:hAnsi="Arial" w:cs="Arial"/>
                <w:sz w:val="20"/>
                <w:szCs w:val="20"/>
              </w:rPr>
              <w:t>CP10</w:t>
            </w:r>
          </w:p>
          <w:p w14:paraId="51D2E678" w14:textId="77777777" w:rsidR="00153D22" w:rsidRDefault="00D24B9A">
            <w:pPr>
              <w:rPr>
                <w:rFonts w:ascii="Arial" w:eastAsia="Arial" w:hAnsi="Arial" w:cs="Arial"/>
                <w:sz w:val="20"/>
                <w:szCs w:val="20"/>
              </w:rPr>
            </w:pPr>
            <w:r>
              <w:rPr>
                <w:rFonts w:ascii="Arial" w:eastAsia="Arial" w:hAnsi="Arial" w:cs="Arial"/>
                <w:sz w:val="20"/>
                <w:szCs w:val="20"/>
              </w:rPr>
              <w:t>CP11</w:t>
            </w:r>
          </w:p>
          <w:p w14:paraId="22E06F33" w14:textId="77777777" w:rsidR="00153D22" w:rsidRDefault="00D24B9A">
            <w:pPr>
              <w:rPr>
                <w:rFonts w:ascii="Arial" w:eastAsia="Arial" w:hAnsi="Arial" w:cs="Arial"/>
                <w:sz w:val="20"/>
                <w:szCs w:val="20"/>
              </w:rPr>
            </w:pPr>
            <w:r>
              <w:rPr>
                <w:rFonts w:ascii="Arial" w:eastAsia="Arial" w:hAnsi="Arial" w:cs="Arial"/>
                <w:sz w:val="20"/>
                <w:szCs w:val="20"/>
              </w:rPr>
              <w:t>CP12</w:t>
            </w:r>
          </w:p>
          <w:p w14:paraId="1716B6B2" w14:textId="77777777" w:rsidR="00153D22" w:rsidRDefault="00D24B9A">
            <w:pPr>
              <w:rPr>
                <w:rFonts w:ascii="Arial" w:eastAsia="Arial" w:hAnsi="Arial" w:cs="Arial"/>
                <w:sz w:val="20"/>
                <w:szCs w:val="20"/>
              </w:rPr>
            </w:pPr>
            <w:r>
              <w:rPr>
                <w:rFonts w:ascii="Arial" w:eastAsia="Arial" w:hAnsi="Arial" w:cs="Arial"/>
                <w:sz w:val="20"/>
                <w:szCs w:val="20"/>
              </w:rPr>
              <w:t>CP13</w:t>
            </w:r>
          </w:p>
          <w:p w14:paraId="5D6B82DC" w14:textId="77777777" w:rsidR="00153D22" w:rsidRDefault="00D24B9A">
            <w:pPr>
              <w:rPr>
                <w:rFonts w:ascii="Arial" w:eastAsia="Arial" w:hAnsi="Arial" w:cs="Arial"/>
                <w:sz w:val="20"/>
                <w:szCs w:val="20"/>
              </w:rPr>
            </w:pPr>
            <w:r>
              <w:rPr>
                <w:rFonts w:ascii="Arial" w:eastAsia="Arial" w:hAnsi="Arial" w:cs="Arial"/>
                <w:sz w:val="20"/>
                <w:szCs w:val="20"/>
              </w:rPr>
              <w:t>CP16</w:t>
            </w:r>
          </w:p>
          <w:p w14:paraId="0088149B" w14:textId="77777777" w:rsidR="00153D22" w:rsidRDefault="00D24B9A">
            <w:pPr>
              <w:rPr>
                <w:rFonts w:ascii="Arial" w:eastAsia="Arial" w:hAnsi="Arial" w:cs="Arial"/>
                <w:sz w:val="20"/>
                <w:szCs w:val="20"/>
              </w:rPr>
            </w:pPr>
            <w:r>
              <w:rPr>
                <w:rFonts w:ascii="Arial" w:eastAsia="Arial" w:hAnsi="Arial" w:cs="Arial"/>
                <w:sz w:val="20"/>
                <w:szCs w:val="20"/>
              </w:rPr>
              <w:t>CP17</w:t>
            </w:r>
          </w:p>
          <w:p w14:paraId="7F8B3A3F" w14:textId="77777777" w:rsidR="00153D22" w:rsidRDefault="00D24B9A">
            <w:pPr>
              <w:rPr>
                <w:rFonts w:ascii="Arial" w:eastAsia="Arial" w:hAnsi="Arial" w:cs="Arial"/>
                <w:sz w:val="20"/>
                <w:szCs w:val="20"/>
              </w:rPr>
            </w:pPr>
            <w:r>
              <w:rPr>
                <w:rFonts w:ascii="Arial" w:eastAsia="Arial" w:hAnsi="Arial" w:cs="Arial"/>
                <w:sz w:val="20"/>
                <w:szCs w:val="20"/>
              </w:rPr>
              <w:t>CP18</w:t>
            </w:r>
          </w:p>
          <w:p w14:paraId="1B468F15" w14:textId="77777777" w:rsidR="00153D22" w:rsidRDefault="00D24B9A">
            <w:pPr>
              <w:rPr>
                <w:rFonts w:ascii="Arial" w:eastAsia="Arial" w:hAnsi="Arial" w:cs="Arial"/>
                <w:sz w:val="20"/>
                <w:szCs w:val="20"/>
              </w:rPr>
            </w:pPr>
            <w:r>
              <w:rPr>
                <w:rFonts w:ascii="Arial" w:eastAsia="Arial" w:hAnsi="Arial" w:cs="Arial"/>
                <w:sz w:val="20"/>
                <w:szCs w:val="20"/>
              </w:rPr>
              <w:t>CP20</w:t>
            </w:r>
          </w:p>
          <w:p w14:paraId="7CEBD1F2" w14:textId="77777777" w:rsidR="00153D22" w:rsidRDefault="00D24B9A">
            <w:pPr>
              <w:rPr>
                <w:rFonts w:ascii="Arial" w:eastAsia="Arial" w:hAnsi="Arial" w:cs="Arial"/>
                <w:sz w:val="20"/>
                <w:szCs w:val="20"/>
              </w:rPr>
            </w:pPr>
            <w:r>
              <w:rPr>
                <w:rFonts w:ascii="Arial" w:eastAsia="Arial" w:hAnsi="Arial" w:cs="Arial"/>
                <w:sz w:val="20"/>
                <w:szCs w:val="20"/>
              </w:rPr>
              <w:t>CP21</w:t>
            </w:r>
          </w:p>
          <w:p w14:paraId="7DE22F64" w14:textId="77777777" w:rsidR="00153D22" w:rsidRDefault="00D24B9A">
            <w:pPr>
              <w:rPr>
                <w:rFonts w:ascii="Arial" w:eastAsia="Arial" w:hAnsi="Arial" w:cs="Arial"/>
                <w:sz w:val="20"/>
                <w:szCs w:val="20"/>
              </w:rPr>
            </w:pPr>
            <w:r>
              <w:rPr>
                <w:rFonts w:ascii="Arial" w:eastAsia="Arial" w:hAnsi="Arial" w:cs="Arial"/>
                <w:sz w:val="20"/>
                <w:szCs w:val="20"/>
              </w:rPr>
              <w:t>CP22</w:t>
            </w:r>
          </w:p>
          <w:p w14:paraId="6941008B" w14:textId="77777777" w:rsidR="00153D22" w:rsidRDefault="00D24B9A">
            <w:pPr>
              <w:rPr>
                <w:rFonts w:ascii="Arial" w:eastAsia="Arial" w:hAnsi="Arial" w:cs="Arial"/>
                <w:sz w:val="20"/>
                <w:szCs w:val="20"/>
              </w:rPr>
            </w:pPr>
            <w:r>
              <w:rPr>
                <w:rFonts w:ascii="Arial" w:eastAsia="Arial" w:hAnsi="Arial" w:cs="Arial"/>
                <w:sz w:val="20"/>
                <w:szCs w:val="20"/>
              </w:rPr>
              <w:t>CP23</w:t>
            </w:r>
          </w:p>
          <w:p w14:paraId="7DBEC004" w14:textId="77777777" w:rsidR="00153D22" w:rsidRDefault="00D24B9A">
            <w:pPr>
              <w:rPr>
                <w:rFonts w:ascii="Arial" w:eastAsia="Arial" w:hAnsi="Arial" w:cs="Arial"/>
                <w:sz w:val="20"/>
                <w:szCs w:val="20"/>
              </w:rPr>
            </w:pPr>
            <w:r>
              <w:rPr>
                <w:rFonts w:ascii="Arial" w:eastAsia="Arial" w:hAnsi="Arial" w:cs="Arial"/>
                <w:sz w:val="20"/>
                <w:szCs w:val="20"/>
              </w:rPr>
              <w:t>CP24</w:t>
            </w:r>
          </w:p>
          <w:p w14:paraId="19D94C65" w14:textId="77777777" w:rsidR="00153D22" w:rsidRDefault="00D24B9A">
            <w:pPr>
              <w:rPr>
                <w:rFonts w:ascii="Arial" w:eastAsia="Arial" w:hAnsi="Arial" w:cs="Arial"/>
                <w:sz w:val="20"/>
                <w:szCs w:val="20"/>
              </w:rPr>
            </w:pPr>
            <w:r>
              <w:rPr>
                <w:rFonts w:ascii="Arial" w:eastAsia="Arial" w:hAnsi="Arial" w:cs="Arial"/>
                <w:sz w:val="20"/>
                <w:szCs w:val="20"/>
              </w:rPr>
              <w:t>CP25</w:t>
            </w:r>
          </w:p>
          <w:p w14:paraId="40548ABE" w14:textId="77777777" w:rsidR="00153D22" w:rsidRDefault="00D24B9A">
            <w:pPr>
              <w:rPr>
                <w:rFonts w:ascii="Arial" w:eastAsia="Arial" w:hAnsi="Arial" w:cs="Arial"/>
                <w:sz w:val="20"/>
                <w:szCs w:val="20"/>
              </w:rPr>
            </w:pPr>
            <w:r>
              <w:rPr>
                <w:rFonts w:ascii="Arial" w:eastAsia="Arial" w:hAnsi="Arial" w:cs="Arial"/>
                <w:sz w:val="20"/>
                <w:szCs w:val="20"/>
              </w:rPr>
              <w:t>CP26</w:t>
            </w:r>
            <w:r>
              <w:rPr>
                <w:rFonts w:ascii="Arial" w:eastAsia="Arial" w:hAnsi="Arial" w:cs="Arial"/>
                <w:sz w:val="20"/>
                <w:szCs w:val="20"/>
              </w:rPr>
              <w:br/>
            </w:r>
            <w:r>
              <w:rPr>
                <w:rFonts w:ascii="Arial" w:eastAsia="Arial" w:hAnsi="Arial" w:cs="Arial"/>
                <w:sz w:val="20"/>
                <w:szCs w:val="20"/>
              </w:rPr>
              <w:br/>
              <w:t>Field not applicable for YOUX, YOUY</w:t>
            </w:r>
          </w:p>
        </w:tc>
      </w:tr>
      <w:tr w:rsidR="00153D22" w14:paraId="0028C1D7"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FB89BC5" w14:textId="77777777" w:rsidR="00153D22" w:rsidRDefault="00D24B9A">
            <w:pPr>
              <w:rPr>
                <w:rFonts w:ascii="Arial" w:eastAsia="Arial" w:hAnsi="Arial" w:cs="Arial"/>
                <w:sz w:val="20"/>
                <w:szCs w:val="20"/>
              </w:rPr>
            </w:pPr>
            <w:r>
              <w:rPr>
                <w:rFonts w:ascii="Arial" w:eastAsia="Arial" w:hAnsi="Arial" w:cs="Arial"/>
                <w:sz w:val="20"/>
                <w:szCs w:val="20"/>
              </w:rPr>
              <w:lastRenderedPageBreak/>
              <w:t>Net Profit costs (excluding VAT)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683CD0F2" w14:textId="77777777" w:rsidR="00153D22" w:rsidRDefault="00D24B9A">
            <w:pPr>
              <w:rPr>
                <w:rFonts w:ascii="Arial" w:eastAsia="Arial" w:hAnsi="Arial" w:cs="Arial"/>
                <w:sz w:val="20"/>
                <w:szCs w:val="20"/>
              </w:rPr>
            </w:pPr>
            <w:r>
              <w:rPr>
                <w:rFonts w:ascii="Arial" w:eastAsia="Arial" w:hAnsi="Arial" w:cs="Arial"/>
                <w:sz w:val="20"/>
                <w:szCs w:val="20"/>
              </w:rPr>
              <w:t>Must match the price of the standard fee category for the YOU code selected and cannot be zero</w:t>
            </w:r>
          </w:p>
        </w:tc>
      </w:tr>
      <w:tr w:rsidR="00153D22" w14:paraId="54AE6D19"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A0F420" w14:textId="77777777" w:rsidR="00153D22" w:rsidRDefault="00D24B9A">
            <w:pPr>
              <w:rPr>
                <w:rFonts w:ascii="Arial" w:eastAsia="Arial" w:hAnsi="Arial" w:cs="Arial"/>
                <w:sz w:val="20"/>
                <w:szCs w:val="20"/>
              </w:rPr>
            </w:pPr>
            <w:r>
              <w:rPr>
                <w:rFonts w:ascii="Arial" w:eastAsia="Arial" w:hAnsi="Arial" w:cs="Arial"/>
                <w:sz w:val="20"/>
                <w:szCs w:val="20"/>
              </w:rPr>
              <w:t>Net Disbursement amount (excluding VAT)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57C2511B"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2133206C"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29C2E53" w14:textId="77777777" w:rsidR="00153D22" w:rsidRDefault="00D24B9A">
            <w:pPr>
              <w:rPr>
                <w:rFonts w:ascii="Arial" w:eastAsia="Arial" w:hAnsi="Arial" w:cs="Arial"/>
                <w:sz w:val="20"/>
                <w:szCs w:val="20"/>
              </w:rPr>
            </w:pPr>
            <w:r>
              <w:rPr>
                <w:rFonts w:ascii="Arial" w:eastAsia="Arial" w:hAnsi="Arial" w:cs="Arial"/>
                <w:sz w:val="20"/>
                <w:szCs w:val="20"/>
              </w:rPr>
              <w:t>Net Travel costs (excluding VAT)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7CAA029C" w14:textId="77777777" w:rsidR="00153D22" w:rsidRDefault="00D24B9A">
            <w:pPr>
              <w:rPr>
                <w:rFonts w:ascii="Arial" w:eastAsia="Arial" w:hAnsi="Arial" w:cs="Arial"/>
                <w:sz w:val="20"/>
                <w:szCs w:val="20"/>
              </w:rPr>
            </w:pPr>
            <w:r>
              <w:rPr>
                <w:rFonts w:ascii="Arial" w:eastAsia="Arial" w:hAnsi="Arial" w:cs="Arial"/>
                <w:sz w:val="20"/>
                <w:szCs w:val="20"/>
              </w:rPr>
              <w:t>Can be entered but will only be paid for codes YOUE, YOUF and YOUX. Zero is allowed.</w:t>
            </w:r>
          </w:p>
        </w:tc>
      </w:tr>
      <w:tr w:rsidR="00153D22" w14:paraId="72215ADE"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6F8B8D" w14:textId="77777777" w:rsidR="00153D22" w:rsidRDefault="00D24B9A">
            <w:pPr>
              <w:rPr>
                <w:rFonts w:ascii="Arial" w:eastAsia="Arial" w:hAnsi="Arial" w:cs="Arial"/>
                <w:sz w:val="20"/>
                <w:szCs w:val="20"/>
              </w:rPr>
            </w:pPr>
            <w:r>
              <w:rPr>
                <w:rFonts w:ascii="Arial" w:eastAsia="Arial" w:hAnsi="Arial" w:cs="Arial"/>
                <w:sz w:val="20"/>
                <w:szCs w:val="20"/>
              </w:rPr>
              <w:t>Net Waiting costs (excluding VAT)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6F498287" w14:textId="77777777" w:rsidR="00153D22" w:rsidRDefault="00D24B9A">
            <w:pPr>
              <w:rPr>
                <w:rFonts w:ascii="Arial" w:eastAsia="Arial" w:hAnsi="Arial" w:cs="Arial"/>
                <w:sz w:val="20"/>
                <w:szCs w:val="20"/>
              </w:rPr>
            </w:pPr>
            <w:r>
              <w:rPr>
                <w:rFonts w:ascii="Arial" w:eastAsia="Arial" w:hAnsi="Arial" w:cs="Arial"/>
                <w:sz w:val="20"/>
                <w:szCs w:val="20"/>
              </w:rPr>
              <w:t>Can be entered but will only be paid for codes YOUE, YOUF and YOUX. Zero is allowed.</w:t>
            </w:r>
          </w:p>
        </w:tc>
      </w:tr>
      <w:tr w:rsidR="00153D22" w14:paraId="30B5C038"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4A7F129" w14:textId="77777777" w:rsidR="00153D22" w:rsidRDefault="00D24B9A">
            <w:pPr>
              <w:rPr>
                <w:rFonts w:ascii="Arial" w:eastAsia="Arial" w:hAnsi="Arial" w:cs="Arial"/>
                <w:sz w:val="20"/>
                <w:szCs w:val="20"/>
              </w:rPr>
            </w:pPr>
            <w:r>
              <w:rPr>
                <w:rFonts w:ascii="Arial" w:eastAsia="Arial" w:hAnsi="Arial" w:cs="Arial"/>
                <w:sz w:val="20"/>
                <w:szCs w:val="20"/>
              </w:rPr>
              <w:t>VAT Indicator</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39DB64C6"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30948F4E"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79BF857" w14:textId="77777777" w:rsidR="00153D22" w:rsidRDefault="00D24B9A">
            <w:pPr>
              <w:rPr>
                <w:rFonts w:ascii="Arial" w:eastAsia="Arial" w:hAnsi="Arial" w:cs="Arial"/>
                <w:sz w:val="20"/>
                <w:szCs w:val="20"/>
              </w:rPr>
            </w:pPr>
            <w:r>
              <w:rPr>
                <w:rFonts w:ascii="Arial" w:eastAsia="Arial" w:hAnsi="Arial" w:cs="Arial"/>
                <w:sz w:val="20"/>
                <w:szCs w:val="20"/>
              </w:rPr>
              <w:t>VAT Disbursements amount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4592ECD5"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5B3A67D0"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4A7AB4" w14:textId="77777777" w:rsidR="00153D22" w:rsidRDefault="00D24B9A">
            <w:pPr>
              <w:rPr>
                <w:rFonts w:ascii="Arial" w:eastAsia="Arial" w:hAnsi="Arial" w:cs="Arial"/>
                <w:sz w:val="20"/>
                <w:szCs w:val="20"/>
              </w:rPr>
            </w:pPr>
            <w:r>
              <w:rPr>
                <w:rFonts w:ascii="Arial" w:eastAsia="Arial" w:hAnsi="Arial" w:cs="Arial"/>
                <w:sz w:val="20"/>
                <w:szCs w:val="20"/>
              </w:rPr>
              <w:t>Case concluded date</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1A521D4A"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38A643C1"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AD7EC9" w14:textId="77777777" w:rsidR="00153D22" w:rsidRDefault="00D24B9A">
            <w:pPr>
              <w:rPr>
                <w:rFonts w:ascii="Arial" w:eastAsia="Arial" w:hAnsi="Arial" w:cs="Arial"/>
                <w:sz w:val="20"/>
                <w:szCs w:val="20"/>
              </w:rPr>
            </w:pPr>
            <w:r>
              <w:rPr>
                <w:rFonts w:ascii="Arial" w:eastAsia="Arial" w:hAnsi="Arial" w:cs="Arial"/>
                <w:sz w:val="20"/>
                <w:szCs w:val="20"/>
              </w:rPr>
              <w:t>No. of suspects/defendants</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1CE5D843"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582CD665"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D820C8B" w14:textId="77777777" w:rsidR="00153D22" w:rsidRDefault="00D24B9A">
            <w:pPr>
              <w:rPr>
                <w:rFonts w:ascii="Arial" w:eastAsia="Arial" w:hAnsi="Arial" w:cs="Arial"/>
                <w:sz w:val="20"/>
                <w:szCs w:val="20"/>
              </w:rPr>
            </w:pPr>
            <w:r>
              <w:rPr>
                <w:rFonts w:ascii="Arial" w:eastAsia="Arial" w:hAnsi="Arial" w:cs="Arial"/>
                <w:sz w:val="20"/>
                <w:szCs w:val="20"/>
              </w:rPr>
              <w:t>No. of Police Station/court attendances</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61280AA2"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2E70B663"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B29CFF6" w14:textId="77777777" w:rsidR="00153D22" w:rsidRDefault="00D24B9A">
            <w:pPr>
              <w:rPr>
                <w:rFonts w:ascii="Arial" w:eastAsia="Arial" w:hAnsi="Arial" w:cs="Arial"/>
                <w:sz w:val="20"/>
                <w:szCs w:val="20"/>
              </w:rPr>
            </w:pPr>
            <w:r>
              <w:rPr>
                <w:rFonts w:ascii="Arial" w:eastAsia="Arial" w:hAnsi="Arial" w:cs="Arial"/>
                <w:sz w:val="20"/>
                <w:szCs w:val="20"/>
              </w:rPr>
              <w:t>Police Station/Court ID/Prison ID</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1E1BE018"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4AA84427"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11BA40" w14:textId="77777777" w:rsidR="00153D22" w:rsidRDefault="00D24B9A">
            <w:pPr>
              <w:rPr>
                <w:rFonts w:ascii="Arial" w:eastAsia="Arial" w:hAnsi="Arial" w:cs="Arial"/>
                <w:sz w:val="20"/>
                <w:szCs w:val="20"/>
              </w:rPr>
            </w:pPr>
            <w:r>
              <w:rPr>
                <w:rFonts w:ascii="Arial" w:eastAsia="Arial" w:hAnsi="Arial" w:cs="Arial"/>
                <w:sz w:val="20"/>
                <w:szCs w:val="20"/>
              </w:rPr>
              <w:t>DSCC Number</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0422EB44"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71BC8E22"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4B6BB4" w14:textId="77777777" w:rsidR="00153D22" w:rsidRDefault="00D24B9A">
            <w:pPr>
              <w:rPr>
                <w:rFonts w:ascii="Arial" w:eastAsia="Arial" w:hAnsi="Arial" w:cs="Arial"/>
                <w:sz w:val="20"/>
                <w:szCs w:val="20"/>
              </w:rPr>
            </w:pPr>
            <w:r>
              <w:rPr>
                <w:rFonts w:ascii="Arial" w:eastAsia="Arial" w:hAnsi="Arial" w:cs="Arial"/>
                <w:sz w:val="20"/>
                <w:szCs w:val="20"/>
              </w:rPr>
              <w:t>MAAT ID</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4C6FA292"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r w:rsidR="00153D22" w14:paraId="7BCAB9BE" w14:textId="77777777">
        <w:trPr>
          <w:trHeight w:val="315"/>
        </w:trPr>
        <w:tc>
          <w:tcPr>
            <w:tcW w:w="34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A5990C" w14:textId="77777777" w:rsidR="00153D22" w:rsidRDefault="00D24B9A">
            <w:pPr>
              <w:rPr>
                <w:rFonts w:ascii="Arial" w:eastAsia="Arial" w:hAnsi="Arial" w:cs="Arial"/>
                <w:sz w:val="20"/>
                <w:szCs w:val="20"/>
              </w:rPr>
            </w:pPr>
            <w:r>
              <w:rPr>
                <w:rFonts w:ascii="Arial" w:eastAsia="Arial" w:hAnsi="Arial" w:cs="Arial"/>
                <w:sz w:val="20"/>
                <w:szCs w:val="20"/>
              </w:rPr>
              <w:t>Youth Court</w:t>
            </w:r>
          </w:p>
        </w:tc>
        <w:tc>
          <w:tcPr>
            <w:tcW w:w="6993" w:type="dxa"/>
            <w:tcBorders>
              <w:top w:val="single" w:sz="6" w:space="0" w:color="CCCCCC"/>
              <w:left w:val="single" w:sz="6" w:space="0" w:color="CCCCCC"/>
              <w:bottom w:val="single" w:sz="6" w:space="0" w:color="CCCCCC"/>
              <w:right w:val="single" w:sz="6" w:space="0" w:color="CCCCCC"/>
            </w:tcBorders>
            <w:shd w:val="clear" w:color="auto" w:fill="F8F8F8"/>
            <w:tcMar>
              <w:top w:w="30" w:type="dxa"/>
              <w:left w:w="45" w:type="dxa"/>
              <w:bottom w:w="30" w:type="dxa"/>
              <w:right w:w="45" w:type="dxa"/>
            </w:tcMar>
            <w:vAlign w:val="bottom"/>
          </w:tcPr>
          <w:p w14:paraId="10ED5461" w14:textId="77777777" w:rsidR="00153D22" w:rsidRDefault="00D24B9A">
            <w:pPr>
              <w:rPr>
                <w:rFonts w:ascii="Arial" w:eastAsia="Arial" w:hAnsi="Arial" w:cs="Arial"/>
                <w:i/>
                <w:color w:val="999999"/>
                <w:sz w:val="22"/>
                <w:szCs w:val="22"/>
              </w:rPr>
            </w:pPr>
            <w:r>
              <w:rPr>
                <w:rFonts w:ascii="Arial" w:eastAsia="Arial" w:hAnsi="Arial" w:cs="Arial"/>
                <w:i/>
                <w:color w:val="999999"/>
                <w:sz w:val="22"/>
                <w:szCs w:val="22"/>
              </w:rPr>
              <w:t>No change to existing validation</w:t>
            </w:r>
          </w:p>
        </w:tc>
      </w:tr>
    </w:tbl>
    <w:p w14:paraId="2B44AA2E" w14:textId="77777777" w:rsidR="00153D22" w:rsidRDefault="00153D22"/>
    <w:p w14:paraId="04417FCE" w14:textId="77777777" w:rsidR="00153D22" w:rsidRDefault="00153D22"/>
    <w:p w14:paraId="5FD0B430" w14:textId="77777777" w:rsidR="00153D22" w:rsidRDefault="00D24B9A">
      <w:pPr>
        <w:rPr>
          <w:b/>
        </w:rPr>
      </w:pPr>
      <w:r>
        <w:rPr>
          <w:b/>
        </w:rPr>
        <w:t>Police Station</w:t>
      </w:r>
    </w:p>
    <w:p w14:paraId="649D71AC" w14:textId="77777777" w:rsidR="00153D22" w:rsidRDefault="00153D22"/>
    <w:p w14:paraId="071EC455" w14:textId="77777777" w:rsidR="00153D22" w:rsidRDefault="00D24B9A">
      <w:r>
        <w:t>The attached spreadsheet below contains a list of all the new police station fees for the codes INVC, INVD and INVJ.</w:t>
      </w:r>
    </w:p>
    <w:p w14:paraId="425E931F" w14:textId="77777777" w:rsidR="00153D22" w:rsidRDefault="00153D22"/>
    <w:p w14:paraId="413EE67A" w14:textId="77777777" w:rsidR="00153D22" w:rsidRDefault="00D24B9A">
      <w:r>
        <w:t>Please note the following</w:t>
      </w:r>
    </w:p>
    <w:p w14:paraId="251CA479" w14:textId="77777777" w:rsidR="00153D22" w:rsidRDefault="00D24B9A">
      <w:pPr>
        <w:numPr>
          <w:ilvl w:val="0"/>
          <w:numId w:val="1"/>
        </w:numPr>
        <w:pBdr>
          <w:top w:val="nil"/>
          <w:left w:val="nil"/>
          <w:bottom w:val="nil"/>
          <w:right w:val="nil"/>
          <w:between w:val="nil"/>
        </w:pBdr>
      </w:pPr>
      <w:r>
        <w:rPr>
          <w:color w:val="000000"/>
        </w:rPr>
        <w:t xml:space="preserve"> The </w:t>
      </w:r>
      <w:r>
        <w:rPr>
          <w:color w:val="000000"/>
          <w:highlight w:val="yellow"/>
        </w:rPr>
        <w:t>YELLOW</w:t>
      </w:r>
      <w:r>
        <w:rPr>
          <w:color w:val="000000"/>
        </w:rPr>
        <w:t xml:space="preserve"> rows are the police station schemes where the price remains unchanged. </w:t>
      </w:r>
    </w:p>
    <w:p w14:paraId="56DE7ABD" w14:textId="77777777" w:rsidR="00153D22" w:rsidRDefault="00D24B9A">
      <w:pPr>
        <w:numPr>
          <w:ilvl w:val="0"/>
          <w:numId w:val="1"/>
        </w:numPr>
        <w:pBdr>
          <w:top w:val="nil"/>
          <w:left w:val="nil"/>
          <w:bottom w:val="nil"/>
          <w:right w:val="nil"/>
          <w:between w:val="nil"/>
        </w:pBdr>
      </w:pPr>
      <w:r>
        <w:rPr>
          <w:color w:val="000000"/>
        </w:rPr>
        <w:t>The white rows are the non-London police station schemes where the price has changed.</w:t>
      </w:r>
    </w:p>
    <w:p w14:paraId="30179B20" w14:textId="77777777" w:rsidR="00153D22" w:rsidRDefault="00D24B9A">
      <w:pPr>
        <w:numPr>
          <w:ilvl w:val="0"/>
          <w:numId w:val="1"/>
        </w:numPr>
        <w:pBdr>
          <w:top w:val="nil"/>
          <w:left w:val="nil"/>
          <w:bottom w:val="nil"/>
          <w:right w:val="nil"/>
          <w:between w:val="nil"/>
        </w:pBdr>
      </w:pPr>
      <w:r>
        <w:rPr>
          <w:color w:val="000000"/>
        </w:rPr>
        <w:t xml:space="preserve"> The grey rows are the London police station schemes where the price has changed.</w:t>
      </w:r>
    </w:p>
    <w:p w14:paraId="14A6D4C6" w14:textId="77777777" w:rsidR="00153D22" w:rsidRDefault="00153D22"/>
    <w:bookmarkStart w:id="0" w:name="_heading=h.gjdgxs" w:colFirst="0" w:colLast="0"/>
    <w:bookmarkEnd w:id="0"/>
    <w:p w14:paraId="5F3D619B" w14:textId="77777777" w:rsidR="00153D22" w:rsidRDefault="00D24B9A">
      <w:r>
        <w:rPr>
          <w:b/>
          <w:sz w:val="32"/>
          <w:szCs w:val="32"/>
        </w:rPr>
        <w:object w:dxaOrig="1270" w:dyaOrig="830" w14:anchorId="50D66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1.25pt" o:ole="">
            <v:imagedata r:id="rId8" o:title=""/>
          </v:shape>
          <o:OLEObject Type="Embed" ProgID="Excel.Sheet.12" ShapeID="_x0000_i1025" DrawAspect="Icon" ObjectID="_1798371323" r:id="rId9"/>
        </w:object>
      </w:r>
    </w:p>
    <w:sectPr w:rsidR="00153D2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8693404-1347-4131-A008-A38DCA06289B}"/>
    <w:embedBold r:id="rId2" w:fontKey="{1FA61A8D-7D05-4EE7-9990-C195FE7A2115}"/>
    <w:embedItalic r:id="rId3" w:fontKey="{7FAB441E-94D8-4DF2-B259-1DF242275E7E}"/>
  </w:font>
  <w:font w:name="Aptos Display">
    <w:charset w:val="00"/>
    <w:family w:val="swiss"/>
    <w:pitch w:val="variable"/>
    <w:sig w:usb0="20000287" w:usb1="00000003" w:usb2="00000000" w:usb3="00000000" w:csb0="0000019F" w:csb1="00000000"/>
    <w:embedRegular r:id="rId4" w:fontKey="{3213F023-2B86-4ECA-8306-FC596ACF4256}"/>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225"/>
    <w:multiLevelType w:val="multilevel"/>
    <w:tmpl w:val="75187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154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22"/>
    <w:rsid w:val="00153D22"/>
    <w:rsid w:val="001E3339"/>
    <w:rsid w:val="001E418D"/>
    <w:rsid w:val="00281BED"/>
    <w:rsid w:val="005971FB"/>
    <w:rsid w:val="006919C6"/>
    <w:rsid w:val="00752233"/>
    <w:rsid w:val="00AA57F9"/>
    <w:rsid w:val="00CC062C"/>
    <w:rsid w:val="00D24B9A"/>
    <w:rsid w:val="00F25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5D1DBF"/>
  <w15:docId w15:val="{129CCA39-703D-49ED-B772-7D69F00F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3908"/>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3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908"/>
    <w:rPr>
      <w:rFonts w:eastAsiaTheme="majorEastAsia" w:cstheme="majorBidi"/>
      <w:color w:val="272727" w:themeColor="text1" w:themeTint="D8"/>
    </w:rPr>
  </w:style>
  <w:style w:type="character" w:customStyle="1" w:styleId="TitleChar">
    <w:name w:val="Title Char"/>
    <w:basedOn w:val="DefaultParagraphFont"/>
    <w:link w:val="Title"/>
    <w:uiPriority w:val="10"/>
    <w:rsid w:val="00393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393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9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908"/>
    <w:rPr>
      <w:i/>
      <w:iCs/>
      <w:color w:val="404040" w:themeColor="text1" w:themeTint="BF"/>
    </w:rPr>
  </w:style>
  <w:style w:type="paragraph" w:styleId="ListParagraph">
    <w:name w:val="List Paragraph"/>
    <w:basedOn w:val="Normal"/>
    <w:uiPriority w:val="34"/>
    <w:qFormat/>
    <w:rsid w:val="00393908"/>
    <w:pPr>
      <w:ind w:left="720"/>
      <w:contextualSpacing/>
    </w:pPr>
  </w:style>
  <w:style w:type="character" w:styleId="IntenseEmphasis">
    <w:name w:val="Intense Emphasis"/>
    <w:basedOn w:val="DefaultParagraphFont"/>
    <w:uiPriority w:val="21"/>
    <w:qFormat/>
    <w:rsid w:val="00393908"/>
    <w:rPr>
      <w:i/>
      <w:iCs/>
      <w:color w:val="0F4761" w:themeColor="accent1" w:themeShade="BF"/>
    </w:rPr>
  </w:style>
  <w:style w:type="paragraph" w:styleId="IntenseQuote">
    <w:name w:val="Intense Quote"/>
    <w:basedOn w:val="Normal"/>
    <w:next w:val="Normal"/>
    <w:link w:val="IntenseQuoteChar"/>
    <w:uiPriority w:val="30"/>
    <w:qFormat/>
    <w:rsid w:val="00393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08"/>
    <w:rPr>
      <w:i/>
      <w:iCs/>
      <w:color w:val="0F4761" w:themeColor="accent1" w:themeShade="BF"/>
    </w:rPr>
  </w:style>
  <w:style w:type="character" w:styleId="IntenseReference">
    <w:name w:val="Intense Reference"/>
    <w:basedOn w:val="DefaultParagraphFont"/>
    <w:uiPriority w:val="32"/>
    <w:qFormat/>
    <w:rsid w:val="00393908"/>
    <w:rPr>
      <w:b/>
      <w:bCs/>
      <w:smallCaps/>
      <w:color w:val="0F4761" w:themeColor="accent1" w:themeShade="BF"/>
      <w:spacing w:val="5"/>
    </w:rPr>
  </w:style>
  <w:style w:type="character" w:styleId="Hyperlink">
    <w:name w:val="Hyperlink"/>
    <w:basedOn w:val="DefaultParagraphFont"/>
    <w:uiPriority w:val="99"/>
    <w:unhideWhenUsed/>
    <w:rsid w:val="00FA4B7A"/>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75DB5"/>
    <w:rPr>
      <w:color w:val="96607D" w:themeColor="followedHyperlink"/>
      <w:u w:val="single"/>
    </w:rPr>
  </w:style>
  <w:style w:type="character" w:styleId="UnresolvedMention">
    <w:name w:val="Unresolved Mention"/>
    <w:basedOn w:val="DefaultParagraphFont"/>
    <w:uiPriority w:val="99"/>
    <w:semiHidden/>
    <w:unhideWhenUsed/>
    <w:rsid w:val="00375DB5"/>
    <w:rPr>
      <w:color w:val="605E5C"/>
      <w:shd w:val="clear" w:color="auto" w:fill="E1DFDD"/>
    </w:rPr>
  </w:style>
  <w:style w:type="paragraph" w:styleId="Revision">
    <w:name w:val="Revision"/>
    <w:hidden/>
    <w:uiPriority w:val="99"/>
    <w:semiHidden/>
    <w:rsid w:val="00882DB1"/>
  </w:style>
  <w:style w:type="character" w:styleId="CommentReference">
    <w:name w:val="annotation reference"/>
    <w:basedOn w:val="DefaultParagraphFont"/>
    <w:uiPriority w:val="99"/>
    <w:semiHidden/>
    <w:unhideWhenUsed/>
    <w:rsid w:val="00BC56A1"/>
    <w:rPr>
      <w:sz w:val="16"/>
      <w:szCs w:val="16"/>
    </w:rPr>
  </w:style>
  <w:style w:type="paragraph" w:styleId="CommentText">
    <w:name w:val="annotation text"/>
    <w:basedOn w:val="Normal"/>
    <w:link w:val="CommentTextChar"/>
    <w:uiPriority w:val="99"/>
    <w:unhideWhenUsed/>
    <w:rsid w:val="00BC56A1"/>
    <w:rPr>
      <w:sz w:val="20"/>
      <w:szCs w:val="20"/>
    </w:rPr>
  </w:style>
  <w:style w:type="character" w:customStyle="1" w:styleId="CommentTextChar">
    <w:name w:val="Comment Text Char"/>
    <w:basedOn w:val="DefaultParagraphFont"/>
    <w:link w:val="CommentText"/>
    <w:uiPriority w:val="99"/>
    <w:rsid w:val="00BC56A1"/>
    <w:rPr>
      <w:sz w:val="20"/>
      <w:szCs w:val="20"/>
    </w:rPr>
  </w:style>
  <w:style w:type="paragraph" w:styleId="CommentSubject">
    <w:name w:val="annotation subject"/>
    <w:basedOn w:val="CommentText"/>
    <w:next w:val="CommentText"/>
    <w:link w:val="CommentSubjectChar"/>
    <w:uiPriority w:val="99"/>
    <w:semiHidden/>
    <w:unhideWhenUsed/>
    <w:rsid w:val="00BC56A1"/>
    <w:rPr>
      <w:b/>
      <w:bCs/>
    </w:rPr>
  </w:style>
  <w:style w:type="character" w:customStyle="1" w:styleId="CommentSubjectChar">
    <w:name w:val="Comment Subject Char"/>
    <w:basedOn w:val="CommentTextChar"/>
    <w:link w:val="CommentSubject"/>
    <w:uiPriority w:val="99"/>
    <w:semiHidden/>
    <w:rsid w:val="00BC56A1"/>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assets.publishing.service.gov.uk/media/6734b30e0b168c11ea823040/crime-lower-consultation-respons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bulletin.org.uk/c/AQipARCmyoQHGOiolgsguvn5oQERTaEnawkwL2Zfzn00BCQiNc46bcMZLDtfThCg_WEQP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ED3bik3glanAIq+XwbbFosxdw==">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Janet</dc:creator>
  <cp:lastModifiedBy>Mitzi Broom</cp:lastModifiedBy>
  <cp:revision>2</cp:revision>
  <cp:lastPrinted>2025-01-06T15:52:00Z</cp:lastPrinted>
  <dcterms:created xsi:type="dcterms:W3CDTF">2025-01-14T14:49:00Z</dcterms:created>
  <dcterms:modified xsi:type="dcterms:W3CDTF">2025-01-14T14:49:00Z</dcterms:modified>
</cp:coreProperties>
</file>